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E7" w:rsidRPr="00D3287F" w:rsidRDefault="00305AE7" w:rsidP="00305AE7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D3287F">
        <w:rPr>
          <w:color w:val="auto"/>
        </w:rPr>
        <w:t>CYCLE 2  - Questionner le monde</w:t>
      </w:r>
    </w:p>
    <w:p w:rsidR="00305AE7" w:rsidRPr="00D3287F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</w:p>
    <w:p w:rsidR="00305AE7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  <w:r>
        <w:rPr>
          <w:rFonts w:ascii="Times New Roman" w:eastAsia="MS Mincho" w:hAnsi="Times New Roman" w:cs="Calibri"/>
          <w:szCs w:val="20"/>
          <w:lang w:bidi="fr-FR"/>
        </w:rPr>
        <w:tab/>
      </w:r>
      <w:r w:rsidRPr="00C73062">
        <w:rPr>
          <w:rFonts w:ascii="Times New Roman" w:eastAsia="MS Mincho" w:hAnsi="Times New Roman" w:cs="Calibri"/>
          <w:szCs w:val="20"/>
          <w:lang w:bidi="fr-FR"/>
        </w:rPr>
        <w:t>Dès l’école maternelle, les élèves explorent et observent le monde qui les entoure ; au cycle 2, ils vont apprendre à le questionner de manière plus précise, par une première démarche scientifique et réfléchie. Les objectifs généraux de « Questionner le monde » sont donc : d’une part de permettre aux élèves d’acquérir des connaissances nécessaires pour décrire et comprendre le monde qui les entoure et développer leur capacité à raisonner ; d’autre part de contribuer à leur formation de citoyens. Les apprentissages, repris et approfondis lors des cycles successifs, se poursuivront ensuite tout au long de la scolarité en faisant appel à des idées de plus en plus élaborées, abstraites et complexes.</w:t>
      </w:r>
    </w:p>
    <w:p w:rsidR="00305AE7" w:rsidRPr="00C73062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</w:p>
    <w:tbl>
      <w:tblPr>
        <w:tblpPr w:leftFromText="141" w:rightFromText="141" w:vertAnchor="text" w:horzAnchor="margin" w:tblpY="2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5"/>
        <w:gridCol w:w="2001"/>
      </w:tblGrid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</w:rPr>
            </w:pPr>
            <w:bookmarkStart w:id="0" w:name="OLE_LINK1"/>
            <w:r w:rsidRPr="00C73062">
              <w:rPr>
                <w:rFonts w:ascii="Times New Roman" w:hAnsi="Times New Roman" w:cs="Calibri"/>
                <w:b/>
              </w:rPr>
              <w:t>Compétences travaillées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b/>
              </w:rPr>
            </w:pPr>
            <w:r w:rsidRPr="00C73062">
              <w:rPr>
                <w:rFonts w:ascii="Times New Roman" w:hAnsi="Times New Roman" w:cs="Calibri"/>
                <w:b/>
              </w:rPr>
              <w:t>Domaines du socle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bCs/>
                <w:szCs w:val="20"/>
              </w:rPr>
              <w:t>Pratiquer des langages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Communiquer en français, à l’oral et à l’écrit, en cultivant précision, syntaxe et richesse du vocabulaire.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Lire et comprendre des textes documentaires illustrés.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Extraire d’un texte ou d’une ressource documentaire une information qui répond à un besoin, une question.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Restituer les résultats des observations sous forme orale ou d’écrits variés (notes, listes, dessins, voire tableaux).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1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bCs/>
                <w:szCs w:val="20"/>
              </w:rPr>
              <w:t xml:space="preserve">Mobiliser des outils numériques 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Découvrir des outils numériques pour dessiner, communiquer, rechercher et restituer des informations simples.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2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szCs w:val="20"/>
              </w:rPr>
              <w:t>Se situer dans l’espace et dans le temps</w:t>
            </w:r>
          </w:p>
          <w:p w:rsidR="00305AE7" w:rsidRPr="00C73062" w:rsidRDefault="00305AE7" w:rsidP="00392A54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 xml:space="preserve">Construire des repères spatiaux. 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Se repérer, s’orienter et se situer dans un espace géographique.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Utiliser et produire des représentations de l’espace.</w:t>
            </w:r>
          </w:p>
          <w:p w:rsidR="00305AE7" w:rsidRPr="00C73062" w:rsidRDefault="00305AE7" w:rsidP="00392A54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Construire des repères temporels.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Ordonner des évènements.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Mémoriser quelques repères chronologiques.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5</w:t>
            </w:r>
          </w:p>
        </w:tc>
      </w:tr>
      <w:bookmarkEnd w:id="0"/>
    </w:tbl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Pr="00277DF1" w:rsidRDefault="00305AE7" w:rsidP="00305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bookmarkStart w:id="1" w:name="_Toc429984998"/>
      <w:r w:rsidRPr="00277DF1">
        <w:rPr>
          <w:rFonts w:ascii="Times New Roman" w:hAnsi="Times New Roman"/>
          <w:b/>
          <w:sz w:val="28"/>
          <w:szCs w:val="28"/>
        </w:rPr>
        <w:t>CYCLE 3 - H</w:t>
      </w:r>
      <w:bookmarkEnd w:id="1"/>
      <w:r w:rsidRPr="00277DF1">
        <w:rPr>
          <w:rFonts w:ascii="Times New Roman" w:hAnsi="Times New Roman"/>
          <w:b/>
          <w:sz w:val="28"/>
          <w:szCs w:val="28"/>
        </w:rPr>
        <w:t>istoire et géographie</w:t>
      </w:r>
    </w:p>
    <w:p w:rsidR="00305AE7" w:rsidRPr="003522AA" w:rsidRDefault="00305AE7" w:rsidP="00305AE7">
      <w:pPr>
        <w:rPr>
          <w:rFonts w:ascii="Times New Roman" w:hAnsi="Times New Roman" w:cs="Calibri"/>
          <w:b/>
          <w:color w:val="31849B"/>
          <w:szCs w:val="28"/>
        </w:rPr>
      </w:pPr>
    </w:p>
    <w:p w:rsidR="00305AE7" w:rsidRDefault="00305AE7" w:rsidP="00305AE7">
      <w:pPr>
        <w:pStyle w:val="Corpsdetexte"/>
        <w:shd w:val="clear" w:color="auto" w:fill="DAEEF3"/>
        <w:spacing w:after="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ab/>
      </w:r>
      <w:r w:rsidRPr="003522AA">
        <w:rPr>
          <w:rFonts w:cs="Calibri"/>
          <w:szCs w:val="20"/>
        </w:rPr>
        <w:t>Les élèves poursuivent au cycle 3 la construction progressive et de plus en plus explicite de leur rapport au temps et à l’espace, à partir des contributions de deux enseignements disciplinaires liés, l’histoire et la géographie, dont les finalités civiques et culturelles à la fin du cycle. Ces deux enseignements traitent de thématiques et de notions communes et partagent des outils et des méthodes. Leurs spécificités tiennent à leurs objets d’étude, le temps et l’espace, et aux modalités qu’ils mettent en œuvre pour les appréhender. Histoire et géographie sont enseignées à parts égales durant tout le cycle 3. Pour la classe de 6</w:t>
      </w:r>
      <w:r w:rsidRPr="003522AA">
        <w:rPr>
          <w:rFonts w:cs="Calibri"/>
          <w:szCs w:val="20"/>
          <w:vertAlign w:val="superscript"/>
        </w:rPr>
        <w:t>ème</w:t>
      </w:r>
      <w:r w:rsidRPr="003522AA">
        <w:rPr>
          <w:rFonts w:cs="Calibri"/>
          <w:szCs w:val="20"/>
        </w:rPr>
        <w:t>, l</w:t>
      </w:r>
      <w:r w:rsidRPr="003522AA">
        <w:rPr>
          <w:rFonts w:eastAsia="Times New Roman" w:cs="Calibri"/>
          <w:szCs w:val="20"/>
        </w:rPr>
        <w:t xml:space="preserve">es enseignants déterminent le volume horaire qu’ils consacrent à chaque thème ou sous-thème en fonction des démarches pédagogiques qu’ils souhaitent mettre en œuvre. </w:t>
      </w:r>
      <w:r w:rsidRPr="003522AA">
        <w:rPr>
          <w:rFonts w:cs="Calibri"/>
          <w:szCs w:val="20"/>
        </w:rPr>
        <w:t>Les professeurs établissent des liens avec l’enseignement moral et civique et sont attentifs à la contribution effective de l’enseignement de l’histoire et de la géographie à l’atteinte des objectifs du cycle dans les différents domaines du socle commun — notamment les domaines 1 et 2. Tout au long du cycle 3, les élèves acquièrent des compétences et des connaissances qu’ils pourront mobiliser dans la suite de leur scolarité et de leur vie personnelle.</w:t>
      </w:r>
    </w:p>
    <w:p w:rsidR="00305AE7" w:rsidRPr="003522AA" w:rsidRDefault="00305AE7" w:rsidP="00305AE7">
      <w:pPr>
        <w:pStyle w:val="Corpsdetexte"/>
        <w:shd w:val="clear" w:color="auto" w:fill="DAEEF3"/>
        <w:spacing w:after="0" w:line="240" w:lineRule="auto"/>
        <w:jc w:val="both"/>
        <w:rPr>
          <w:rFonts w:cs="Calibri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8542"/>
        <w:gridCol w:w="1204"/>
      </w:tblGrid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lastRenderedPageBreak/>
              <w:t>Compétences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05AE7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 xml:space="preserve">Domaines </w:t>
            </w:r>
            <w:bookmarkStart w:id="2" w:name="_GoBack"/>
            <w:bookmarkEnd w:id="2"/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Se repérer dans le temps : construire des repères historiques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Situer chronologiquement des grandes périodes historiques.</w:t>
            </w:r>
            <w:r w:rsidRPr="003522AA" w:rsidDel="00917C5D">
              <w:rPr>
                <w:rFonts w:ascii="Times New Roman" w:hAnsi="Times New Roman" w:cs="Calibri"/>
                <w:szCs w:val="20"/>
              </w:rPr>
              <w:t xml:space="preserve"> 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Ordonner des faits les uns par rapport aux autres et les situer dans une époque ou une période donnée.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Manipuler et réinvestir le repère historique dans différents contextes.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Utiliser des documents donnant à voir une représentation du temps (dont les frises chronologiques), à différentes échelles, et le lexique relatif au découpage du temps et suscitant la mise en perspective des faits.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Mémoriser les repères historiques liés au programme et savoir les mobiliser dans différents contextes.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Se repérer dans l’espace : construire des repères géographiques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szCs w:val="20"/>
              </w:rPr>
              <w:t xml:space="preserve">- </w:t>
            </w:r>
            <w:r w:rsidRPr="003522AA">
              <w:rPr>
                <w:rFonts w:cs="Calibri"/>
                <w:color w:val="000000"/>
                <w:szCs w:val="20"/>
              </w:rPr>
              <w:t>Nommer et localiser les grands repères géographiques.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Nommer et localiser un lieu dans un espace géographique.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Nommer, localiser et caractériser des espaces.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Situer des lieux et des espaces les uns par rapport aux autres.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Appréhender la notion d’échelle géographique.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- </w:t>
            </w:r>
            <w:r w:rsidRPr="003522AA">
              <w:rPr>
                <w:rFonts w:ascii="Times New Roman" w:hAnsi="Times New Roman" w:cs="Calibri"/>
                <w:szCs w:val="20"/>
              </w:rPr>
              <w:t>Mémoriser les repères géographiques liés au programme et savoir les mobiliser dans différents contextes.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Raisonner, justifier une démarche et les choix effectués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Poser des questions, se poser des questions.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Formuler des hypothèses.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Vérifier.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Justifier.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S’informer dans le monde du numérique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Connaitre différents systèmes d’information, les utiliser.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Trouver, sélectionner et exploiter des informations dans une ressource numérique.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Identifier la ressource numérique utilisée.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Comprendre un document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>- Comprendre le sens général d’un document.</w:t>
            </w:r>
          </w:p>
          <w:p w:rsidR="00305AE7" w:rsidRPr="003522AA" w:rsidRDefault="00305AE7" w:rsidP="00392A54">
            <w:pPr>
              <w:pStyle w:val="Corpsdetexte"/>
              <w:shd w:val="clear" w:color="auto" w:fill="DAEEF3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 xml:space="preserve">- Identifier le document et </w:t>
            </w:r>
            <w:r w:rsidRPr="003522AA">
              <w:rPr>
                <w:rFonts w:cs="Calibri"/>
                <w:color w:val="auto"/>
                <w:szCs w:val="20"/>
                <w:shd w:val="clear" w:color="auto" w:fill="DAEEF3"/>
              </w:rPr>
              <w:t>savoir pourquoi il doit être identifié</w:t>
            </w:r>
            <w:r w:rsidRPr="003522AA">
              <w:rPr>
                <w:rFonts w:cs="Calibri"/>
                <w:color w:val="auto"/>
                <w:szCs w:val="20"/>
              </w:rPr>
              <w:t>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>- Extraire des informations pertinentes pour répondre à une question.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Savoir que le document exprime un point de vue, identifier et questionner le sens implicite d’un document.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Pratiquer différents langages en histoire et en géographie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Écrire pour structurer sa pensée et son savoir, pour argumenter et écrire pour communiquer et échanger.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Reconnaitre un récit historique.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S’exprimer à l’oral pour penser, communiquer et échanger.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S’approprier et utiliser un lexique historique et géographique approprié.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Réaliser ou compléter des productions graphiques.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Utiliser des cartes analogiques et numériques à différentes échelles, des photographies de paysages ou de lieux.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Coopérer et mutualiser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Organiser son travail dans le cadre d’un groupe pour élaborer une tâche commune et/ou une production collective et mettre à la disposition des autres ses compétences et ses connaissances.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 xml:space="preserve">- Travailler en commun pour faciliter les apprentissages individuels. 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Apprendre à utiliser les outils numériques qui peuvent conduire à des réalisations collectives.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2, 3</w:t>
            </w:r>
          </w:p>
        </w:tc>
      </w:tr>
    </w:tbl>
    <w:p w:rsidR="00A058EA" w:rsidRDefault="00A058EA" w:rsidP="00305AE7"/>
    <w:sectPr w:rsidR="00A058EA" w:rsidSect="00305AE7">
      <w:pgSz w:w="11900" w:h="16840"/>
      <w:pgMar w:top="851" w:right="1134" w:bottom="851" w:left="113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120A"/>
    <w:multiLevelType w:val="hybridMultilevel"/>
    <w:tmpl w:val="5AF86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55ABE"/>
    <w:multiLevelType w:val="hybridMultilevel"/>
    <w:tmpl w:val="0936D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32762"/>
    <w:multiLevelType w:val="hybridMultilevel"/>
    <w:tmpl w:val="87A8B6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E7"/>
    <w:rsid w:val="00305AE7"/>
    <w:rsid w:val="00501F02"/>
    <w:rsid w:val="00A0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F7CD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E7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305AE7"/>
    <w:pPr>
      <w:jc w:val="center"/>
    </w:pPr>
    <w:rPr>
      <w:rFonts w:ascii="Times New Roman" w:eastAsia="Calibri" w:hAnsi="Times New Roman" w:cs="Calibri"/>
      <w:b/>
      <w:color w:val="31849B"/>
      <w:sz w:val="28"/>
      <w:szCs w:val="32"/>
      <w:lang w:eastAsia="zh-CN" w:bidi="hi-IN"/>
    </w:rPr>
  </w:style>
  <w:style w:type="paragraph" w:customStyle="1" w:styleId="Paragraphedeliste1">
    <w:name w:val="Paragraphe de liste1"/>
    <w:basedOn w:val="Normal"/>
    <w:qFormat/>
    <w:rsid w:val="00305AE7"/>
    <w:pPr>
      <w:ind w:left="720"/>
      <w:contextualSpacing/>
    </w:pPr>
    <w:rPr>
      <w:rFonts w:ascii="Times New Roman" w:eastAsia="Times New Roman" w:hAnsi="Times New Roman" w:cs="Arial"/>
      <w:bCs/>
      <w:szCs w:val="20"/>
      <w:lang w:eastAsia="fr-FR"/>
    </w:rPr>
  </w:style>
  <w:style w:type="paragraph" w:styleId="Corpsdetexte">
    <w:name w:val="Body Text"/>
    <w:basedOn w:val="Normal"/>
    <w:link w:val="CorpsdetexteCar"/>
    <w:rsid w:val="00305AE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305AE7"/>
    <w:rPr>
      <w:rFonts w:ascii="Times New Roman" w:eastAsia="SimSun" w:hAnsi="Times New Roman" w:cs="Mangal"/>
      <w:color w:val="00000A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E7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305AE7"/>
    <w:pPr>
      <w:jc w:val="center"/>
    </w:pPr>
    <w:rPr>
      <w:rFonts w:ascii="Times New Roman" w:eastAsia="Calibri" w:hAnsi="Times New Roman" w:cs="Calibri"/>
      <w:b/>
      <w:color w:val="31849B"/>
      <w:sz w:val="28"/>
      <w:szCs w:val="32"/>
      <w:lang w:eastAsia="zh-CN" w:bidi="hi-IN"/>
    </w:rPr>
  </w:style>
  <w:style w:type="paragraph" w:customStyle="1" w:styleId="Paragraphedeliste1">
    <w:name w:val="Paragraphe de liste1"/>
    <w:basedOn w:val="Normal"/>
    <w:qFormat/>
    <w:rsid w:val="00305AE7"/>
    <w:pPr>
      <w:ind w:left="720"/>
      <w:contextualSpacing/>
    </w:pPr>
    <w:rPr>
      <w:rFonts w:ascii="Times New Roman" w:eastAsia="Times New Roman" w:hAnsi="Times New Roman" w:cs="Arial"/>
      <w:bCs/>
      <w:szCs w:val="20"/>
      <w:lang w:eastAsia="fr-FR"/>
    </w:rPr>
  </w:style>
  <w:style w:type="paragraph" w:styleId="Corpsdetexte">
    <w:name w:val="Body Text"/>
    <w:basedOn w:val="Normal"/>
    <w:link w:val="CorpsdetexteCar"/>
    <w:rsid w:val="00305AE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305AE7"/>
    <w:rPr>
      <w:rFonts w:ascii="Times New Roman" w:eastAsia="SimSun" w:hAnsi="Times New Roman" w:cs="Mangal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873</Words>
  <Characters>4804</Characters>
  <Application>Microsoft Macintosh Word</Application>
  <DocSecurity>0</DocSecurity>
  <Lines>40</Lines>
  <Paragraphs>11</Paragraphs>
  <ScaleCrop>false</ScaleCrop>
  <Company>Université d'Orléans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1</cp:revision>
  <dcterms:created xsi:type="dcterms:W3CDTF">2018-02-13T11:11:00Z</dcterms:created>
  <dcterms:modified xsi:type="dcterms:W3CDTF">2018-02-13T11:27:00Z</dcterms:modified>
</cp:coreProperties>
</file>