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CB6" w:rsidRPr="00D54234" w:rsidRDefault="00D361A3" w:rsidP="00062FDF">
      <w:pPr>
        <w:pBdr>
          <w:top w:val="single" w:sz="4" w:space="1" w:color="auto"/>
          <w:left w:val="single" w:sz="4" w:space="4" w:color="auto"/>
          <w:bottom w:val="single" w:sz="4" w:space="1" w:color="auto"/>
          <w:right w:val="single" w:sz="4" w:space="4" w:color="auto"/>
        </w:pBdr>
        <w:jc w:val="center"/>
        <w:rPr>
          <w:b/>
          <w:sz w:val="28"/>
        </w:rPr>
      </w:pPr>
      <w:r>
        <w:rPr>
          <w:b/>
          <w:sz w:val="28"/>
        </w:rPr>
        <w:t xml:space="preserve"> </w:t>
      </w:r>
      <w:r w:rsidR="003E338E">
        <w:rPr>
          <w:b/>
          <w:sz w:val="28"/>
        </w:rPr>
        <w:t>TD6 -</w:t>
      </w:r>
      <w:r w:rsidR="00777F8A">
        <w:rPr>
          <w:b/>
          <w:sz w:val="28"/>
        </w:rPr>
        <w:t>Dossier documentaire</w:t>
      </w:r>
      <w:r w:rsidR="00EB5CB6" w:rsidRPr="00D54234">
        <w:rPr>
          <w:b/>
          <w:sz w:val="28"/>
        </w:rPr>
        <w:t> </w:t>
      </w:r>
      <w:r w:rsidR="00A904D1">
        <w:rPr>
          <w:b/>
          <w:sz w:val="28"/>
        </w:rPr>
        <w:t>sur les espaces urbains</w:t>
      </w:r>
      <w:r w:rsidR="00EB5CB6" w:rsidRPr="00D54234">
        <w:rPr>
          <w:b/>
          <w:sz w:val="28"/>
        </w:rPr>
        <w:t xml:space="preserve"> en France </w:t>
      </w:r>
    </w:p>
    <w:p w:rsidR="00A362A5" w:rsidRDefault="00A362A5" w:rsidP="003F59B1">
      <w:pPr>
        <w:pStyle w:val="Default"/>
        <w:rPr>
          <w:b/>
          <w:u w:val="single"/>
        </w:rPr>
      </w:pPr>
    </w:p>
    <w:p w:rsidR="00777F8A" w:rsidRDefault="00777F8A" w:rsidP="003F59B1">
      <w:pPr>
        <w:pStyle w:val="Default"/>
        <w:rPr>
          <w:b/>
          <w:u w:val="single"/>
        </w:rPr>
      </w:pPr>
    </w:p>
    <w:p w:rsidR="003F59B1" w:rsidRDefault="003F59B1" w:rsidP="003F59B1">
      <w:pPr>
        <w:pStyle w:val="Default"/>
      </w:pPr>
      <w:r w:rsidRPr="008F45FB">
        <w:rPr>
          <w:b/>
        </w:rPr>
        <w:t xml:space="preserve">Document </w:t>
      </w:r>
      <w:r>
        <w:rPr>
          <w:b/>
        </w:rPr>
        <w:t>1</w:t>
      </w:r>
      <w:r w:rsidRPr="008F45FB">
        <w:rPr>
          <w:b/>
        </w:rPr>
        <w:t> </w:t>
      </w:r>
      <w:r>
        <w:t xml:space="preserve">: schéma </w:t>
      </w:r>
      <w:r w:rsidR="00864BF9">
        <w:t>d’une agglomération</w:t>
      </w:r>
    </w:p>
    <w:p w:rsidR="00E42459" w:rsidRDefault="003F59B1" w:rsidP="003F59B1">
      <w:r>
        <w:t xml:space="preserve">Source : </w:t>
      </w:r>
      <w:r w:rsidR="00864BF9">
        <w:t>Manuel de Géographie, Cycle 3, Collection Magellan, 2010.</w:t>
      </w:r>
    </w:p>
    <w:p w:rsidR="005A4894" w:rsidRDefault="005A4894" w:rsidP="003F59B1"/>
    <w:p w:rsidR="003F59B1" w:rsidRDefault="005A4894" w:rsidP="0033604D">
      <w:pPr>
        <w:jc w:val="center"/>
      </w:pPr>
      <w:r w:rsidRPr="005A4894">
        <w:rPr>
          <w:noProof/>
          <w:lang w:eastAsia="fr-FR"/>
        </w:rPr>
        <w:drawing>
          <wp:inline distT="0" distB="0" distL="0" distR="0">
            <wp:extent cx="6084777" cy="3445111"/>
            <wp:effectExtent l="25400" t="0" r="11223" b="0"/>
            <wp:docPr id="4" name="I 1" descr="SchemaAgglomerationCMHat2010-100.jpg"/>
            <wp:cNvGraphicFramePr/>
            <a:graphic xmlns:a="http://schemas.openxmlformats.org/drawingml/2006/main">
              <a:graphicData uri="http://schemas.openxmlformats.org/drawingml/2006/picture">
                <pic:pic xmlns:pic="http://schemas.openxmlformats.org/drawingml/2006/picture">
                  <pic:nvPicPr>
                    <pic:cNvPr id="0" name="Image 3" descr="SchemaAgglomerationCMHat2010-100.jpg"/>
                    <pic:cNvPicPr>
                      <a:picLocks noChangeAspect="1"/>
                    </pic:cNvPicPr>
                  </pic:nvPicPr>
                  <pic:blipFill>
                    <a:blip r:embed="rId5"/>
                    <a:stretch>
                      <a:fillRect/>
                    </a:stretch>
                  </pic:blipFill>
                  <pic:spPr>
                    <a:xfrm>
                      <a:off x="0" y="0"/>
                      <a:ext cx="6085850" cy="3445718"/>
                    </a:xfrm>
                    <a:prstGeom prst="rect">
                      <a:avLst/>
                    </a:prstGeom>
                  </pic:spPr>
                </pic:pic>
              </a:graphicData>
            </a:graphic>
          </wp:inline>
        </w:drawing>
      </w:r>
    </w:p>
    <w:p w:rsidR="003F59B1" w:rsidRDefault="003F59B1" w:rsidP="003F59B1">
      <w:pPr>
        <w:pStyle w:val="Default"/>
        <w:jc w:val="center"/>
      </w:pPr>
    </w:p>
    <w:p w:rsidR="003F59B1" w:rsidRDefault="003F59B1" w:rsidP="003F59B1">
      <w:pPr>
        <w:pStyle w:val="Default"/>
      </w:pPr>
    </w:p>
    <w:p w:rsidR="00A362A5" w:rsidRDefault="00A362A5" w:rsidP="00A362A5">
      <w:pPr>
        <w:pStyle w:val="Default"/>
      </w:pPr>
      <w:r w:rsidRPr="008F45FB">
        <w:rPr>
          <w:b/>
        </w:rPr>
        <w:t xml:space="preserve">Document </w:t>
      </w:r>
      <w:r>
        <w:rPr>
          <w:b/>
        </w:rPr>
        <w:t>2</w:t>
      </w:r>
      <w:r w:rsidRPr="008F45FB">
        <w:rPr>
          <w:b/>
        </w:rPr>
        <w:t> </w:t>
      </w:r>
      <w:r>
        <w:t>: Strasbourg-HautePierre</w:t>
      </w:r>
      <w:r w:rsidR="00BB44EF">
        <w:t>, quartier de Strasbourg situé à 4 km du centre-ville</w:t>
      </w:r>
      <w:r>
        <w:t xml:space="preserve"> (Bas-Rhin)</w:t>
      </w:r>
    </w:p>
    <w:p w:rsidR="00E42459" w:rsidRDefault="00A362A5" w:rsidP="00A362A5">
      <w:pPr>
        <w:pStyle w:val="Default"/>
      </w:pPr>
      <w:r w:rsidRPr="008F45FB">
        <w:rPr>
          <w:sz w:val="20"/>
        </w:rPr>
        <w:t xml:space="preserve">Source : </w:t>
      </w:r>
      <w:hyperlink r:id="rId6" w:history="1">
        <w:r w:rsidRPr="008F45FB">
          <w:rPr>
            <w:rStyle w:val="Lienhypertexte"/>
            <w:sz w:val="20"/>
          </w:rPr>
          <w:t>http://www.crdp-strasbourg.fr/data/albums/geo_strasbourg_banlieues/index.php?img=11&amp;parent=29</w:t>
        </w:r>
      </w:hyperlink>
    </w:p>
    <w:p w:rsidR="00A362A5" w:rsidRPr="008F45FB" w:rsidRDefault="00A362A5" w:rsidP="00A362A5">
      <w:pPr>
        <w:pStyle w:val="Default"/>
        <w:rPr>
          <w:sz w:val="20"/>
        </w:rPr>
      </w:pPr>
    </w:p>
    <w:p w:rsidR="00A362A5" w:rsidRDefault="00A362A5" w:rsidP="00A362A5">
      <w:pPr>
        <w:pStyle w:val="Default"/>
      </w:pPr>
      <w:r>
        <w:rPr>
          <w:noProof/>
          <w:lang w:eastAsia="fr-FR"/>
        </w:rPr>
        <w:drawing>
          <wp:inline distT="0" distB="0" distL="0" distR="0">
            <wp:extent cx="6732635" cy="4215972"/>
            <wp:effectExtent l="25400" t="0" r="0" b="0"/>
            <wp:docPr id="1" name="Image 6" descr=":ESPE-IUFM:UE12_UE22_EC2_M1MEEF:DossierBanlieueVille:StrasbourgVueAerienneBanlie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PE-IUFM:UE12_UE22_EC2_M1MEEF:DossierBanlieueVille:StrasbourgVueAerienneBanlieue.jpg"/>
                    <pic:cNvPicPr>
                      <a:picLocks noChangeAspect="1" noChangeArrowheads="1"/>
                    </pic:cNvPicPr>
                  </pic:nvPicPr>
                  <pic:blipFill>
                    <a:blip r:embed="rId7"/>
                    <a:srcRect/>
                    <a:stretch>
                      <a:fillRect/>
                    </a:stretch>
                  </pic:blipFill>
                  <pic:spPr bwMode="auto">
                    <a:xfrm>
                      <a:off x="0" y="0"/>
                      <a:ext cx="6742325" cy="4222040"/>
                    </a:xfrm>
                    <a:prstGeom prst="rect">
                      <a:avLst/>
                    </a:prstGeom>
                    <a:noFill/>
                    <a:ln w="9525">
                      <a:noFill/>
                      <a:miter lim="800000"/>
                      <a:headEnd/>
                      <a:tailEnd/>
                    </a:ln>
                  </pic:spPr>
                </pic:pic>
              </a:graphicData>
            </a:graphic>
          </wp:inline>
        </w:drawing>
      </w:r>
    </w:p>
    <w:p w:rsidR="00D74801" w:rsidRDefault="00A97E57" w:rsidP="00FC0BBF">
      <w:pPr>
        <w:pStyle w:val="Default"/>
      </w:pPr>
      <w:r w:rsidRPr="008F45FB">
        <w:rPr>
          <w:b/>
        </w:rPr>
        <w:t xml:space="preserve">Document </w:t>
      </w:r>
      <w:r w:rsidR="003F59B1">
        <w:rPr>
          <w:b/>
        </w:rPr>
        <w:t>3</w:t>
      </w:r>
      <w:r w:rsidRPr="008F45FB">
        <w:rPr>
          <w:b/>
        </w:rPr>
        <w:t> </w:t>
      </w:r>
      <w:r>
        <w:t xml:space="preserve">: </w:t>
      </w:r>
      <w:r w:rsidR="00016E5D">
        <w:t xml:space="preserve">Le village de Gosnay, </w:t>
      </w:r>
      <w:r w:rsidR="00D74801">
        <w:t>situé à 6 km de la ville de</w:t>
      </w:r>
      <w:r w:rsidR="00016E5D">
        <w:t xml:space="preserve"> Béthune</w:t>
      </w:r>
      <w:r w:rsidR="000141F8">
        <w:t xml:space="preserve"> (Pas-de-Calais).</w:t>
      </w:r>
    </w:p>
    <w:p w:rsidR="008F3869" w:rsidRPr="008F45FB" w:rsidRDefault="00D74801" w:rsidP="00FC0BBF">
      <w:pPr>
        <w:pStyle w:val="Default"/>
        <w:rPr>
          <w:sz w:val="20"/>
        </w:rPr>
      </w:pPr>
      <w:r w:rsidRPr="008F45FB">
        <w:rPr>
          <w:sz w:val="20"/>
        </w:rPr>
        <w:t>Source</w:t>
      </w:r>
      <w:r w:rsidR="000141F8" w:rsidRPr="008F45FB">
        <w:rPr>
          <w:sz w:val="20"/>
        </w:rPr>
        <w:t> : Sophie Le Callennec, Géographie, Cycle 3, collection Magellan, Hatier, 2005, p. 126.</w:t>
      </w:r>
    </w:p>
    <w:p w:rsidR="00963DC9" w:rsidRDefault="008F45FB" w:rsidP="008F45FB">
      <w:pPr>
        <w:pStyle w:val="Default"/>
        <w:jc w:val="center"/>
      </w:pPr>
      <w:r>
        <w:rPr>
          <w:noProof/>
          <w:lang w:eastAsia="fr-FR"/>
        </w:rPr>
        <w:drawing>
          <wp:inline distT="0" distB="0" distL="0" distR="0">
            <wp:extent cx="6608460" cy="4298260"/>
            <wp:effectExtent l="25400" t="0" r="0" b="0"/>
            <wp:docPr id="9" name="Image 8" descr=":ESPE-IUFM:UE12_UE22_EC2_M1MEEF:DossierBanlieueVille:PhotVillagePeriurbainC3Hatier2005Red-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PE-IUFM:UE12_UE22_EC2_M1MEEF:DossierBanlieueVille:PhotVillagePeriurbainC3Hatier2005Red-100.jpg"/>
                    <pic:cNvPicPr>
                      <a:picLocks noChangeAspect="1" noChangeArrowheads="1"/>
                    </pic:cNvPicPr>
                  </pic:nvPicPr>
                  <pic:blipFill>
                    <a:blip r:embed="rId8"/>
                    <a:srcRect/>
                    <a:stretch>
                      <a:fillRect/>
                    </a:stretch>
                  </pic:blipFill>
                  <pic:spPr bwMode="auto">
                    <a:xfrm>
                      <a:off x="0" y="0"/>
                      <a:ext cx="6643920" cy="4321324"/>
                    </a:xfrm>
                    <a:prstGeom prst="rect">
                      <a:avLst/>
                    </a:prstGeom>
                    <a:noFill/>
                    <a:ln w="9525">
                      <a:noFill/>
                      <a:miter lim="800000"/>
                      <a:headEnd/>
                      <a:tailEnd/>
                    </a:ln>
                  </pic:spPr>
                </pic:pic>
              </a:graphicData>
            </a:graphic>
          </wp:inline>
        </w:drawing>
      </w:r>
    </w:p>
    <w:p w:rsidR="00A362A5" w:rsidRDefault="00A362A5" w:rsidP="00A362A5">
      <w:pPr>
        <w:pStyle w:val="Default"/>
      </w:pPr>
      <w:r w:rsidRPr="008F45FB">
        <w:rPr>
          <w:b/>
        </w:rPr>
        <w:t>Document </w:t>
      </w:r>
      <w:r>
        <w:rPr>
          <w:b/>
        </w:rPr>
        <w:t>2</w:t>
      </w:r>
      <w:r w:rsidRPr="008F45FB">
        <w:rPr>
          <w:b/>
        </w:rPr>
        <w:t> </w:t>
      </w:r>
      <w:r>
        <w:t xml:space="preserve">: Place Charles de Gaulle (et début de la rue du Marché Notre-Dame) à Poitiers (Vienne) </w:t>
      </w:r>
    </w:p>
    <w:p w:rsidR="00A362A5" w:rsidRPr="008F45FB" w:rsidRDefault="00A362A5" w:rsidP="00A362A5">
      <w:pPr>
        <w:pStyle w:val="Default"/>
        <w:rPr>
          <w:sz w:val="20"/>
        </w:rPr>
      </w:pPr>
      <w:r w:rsidRPr="008F45FB">
        <w:rPr>
          <w:sz w:val="20"/>
        </w:rPr>
        <w:t>Source : Histoire Géographie Histoire des arts, CE2, collection Odysséo, Magnard, 2013,  p. 97.</w:t>
      </w:r>
    </w:p>
    <w:p w:rsidR="00A362A5" w:rsidRDefault="00A362A5" w:rsidP="00A362A5">
      <w:pPr>
        <w:pStyle w:val="Default"/>
        <w:jc w:val="center"/>
      </w:pPr>
      <w:r>
        <w:rPr>
          <w:noProof/>
          <w:lang w:eastAsia="fr-FR"/>
        </w:rPr>
        <w:drawing>
          <wp:inline distT="0" distB="0" distL="0" distR="0">
            <wp:extent cx="6416659" cy="4657223"/>
            <wp:effectExtent l="25400" t="0" r="9541" b="0"/>
            <wp:docPr id="3" name="Image 7" descr=":ESPE-IUFM:UE12_UE22_EC2_M1MEEF:DossierBanlieueVille:PhotVillePoitiersCE2Magnard2013Red-100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PE-IUFM:UE12_UE22_EC2_M1MEEF:DossierBanlieueVille:PhotVillePoitiersCE2Magnard2013Red-100 copie.jpg"/>
                    <pic:cNvPicPr>
                      <a:picLocks noChangeAspect="1" noChangeArrowheads="1"/>
                    </pic:cNvPicPr>
                  </pic:nvPicPr>
                  <pic:blipFill>
                    <a:blip r:embed="rId9"/>
                    <a:srcRect/>
                    <a:stretch>
                      <a:fillRect/>
                    </a:stretch>
                  </pic:blipFill>
                  <pic:spPr bwMode="auto">
                    <a:xfrm>
                      <a:off x="0" y="0"/>
                      <a:ext cx="6418101" cy="4658269"/>
                    </a:xfrm>
                    <a:prstGeom prst="rect">
                      <a:avLst/>
                    </a:prstGeom>
                    <a:noFill/>
                    <a:ln w="9525">
                      <a:noFill/>
                      <a:miter lim="800000"/>
                      <a:headEnd/>
                      <a:tailEnd/>
                    </a:ln>
                  </pic:spPr>
                </pic:pic>
              </a:graphicData>
            </a:graphic>
          </wp:inline>
        </w:drawing>
      </w:r>
    </w:p>
    <w:p w:rsidR="00833A98" w:rsidRDefault="00833A98" w:rsidP="00FC0BBF">
      <w:pPr>
        <w:pStyle w:val="Default"/>
      </w:pPr>
    </w:p>
    <w:p w:rsidR="00833A98" w:rsidRDefault="00963DC9" w:rsidP="00FC0BBF">
      <w:pPr>
        <w:pStyle w:val="Default"/>
      </w:pPr>
      <w:r w:rsidRPr="003F59B1">
        <w:rPr>
          <w:b/>
        </w:rPr>
        <w:t>Docu</w:t>
      </w:r>
      <w:r w:rsidR="00833A98" w:rsidRPr="003F59B1">
        <w:rPr>
          <w:b/>
        </w:rPr>
        <w:t>ment </w:t>
      </w:r>
      <w:r w:rsidR="003F59B1">
        <w:rPr>
          <w:b/>
        </w:rPr>
        <w:t>4</w:t>
      </w:r>
      <w:r w:rsidR="00833A98" w:rsidRPr="003F59B1">
        <w:rPr>
          <w:b/>
        </w:rPr>
        <w:t> </w:t>
      </w:r>
      <w:r w:rsidR="00833A98">
        <w:t xml:space="preserve">: </w:t>
      </w:r>
      <w:r>
        <w:t xml:space="preserve">Hervé Vieillard-Baron, « La banlieue au risque des définitions », </w:t>
      </w:r>
      <w:r w:rsidR="00833A98">
        <w:t>texte du 24 mars 2006.</w:t>
      </w:r>
    </w:p>
    <w:p w:rsidR="005D0BA7" w:rsidRDefault="00833A98" w:rsidP="00833A98">
      <w:pPr>
        <w:pStyle w:val="Default"/>
      </w:pPr>
      <w:r w:rsidRPr="008F45FB">
        <w:rPr>
          <w:sz w:val="20"/>
        </w:rPr>
        <w:t xml:space="preserve">Source : </w:t>
      </w:r>
      <w:hyperlink r:id="rId10" w:history="1">
        <w:r w:rsidRPr="008F45FB">
          <w:rPr>
            <w:rStyle w:val="Lienhypertexte"/>
            <w:sz w:val="20"/>
          </w:rPr>
          <w:t>http://geoconfluences.ens-lyon.fr/doc/territ/FranceMut/FranceMutScient3.htm</w:t>
        </w:r>
      </w:hyperlink>
    </w:p>
    <w:p w:rsidR="003F59B1" w:rsidRDefault="003F59B1" w:rsidP="00833A98">
      <w:pPr>
        <w:pStyle w:val="Default"/>
        <w:rPr>
          <w:sz w:val="20"/>
        </w:rPr>
      </w:pPr>
    </w:p>
    <w:p w:rsidR="007A12FD" w:rsidRPr="005D0BA7" w:rsidRDefault="007A12FD" w:rsidP="002450FA">
      <w:pPr>
        <w:pBdr>
          <w:top w:val="single" w:sz="4" w:space="1" w:color="auto"/>
          <w:left w:val="single" w:sz="4" w:space="4" w:color="auto"/>
          <w:bottom w:val="single" w:sz="4" w:space="1" w:color="auto"/>
          <w:right w:val="single" w:sz="4" w:space="4" w:color="auto"/>
        </w:pBdr>
        <w:spacing w:beforeLines="1" w:afterLines="1"/>
        <w:jc w:val="both"/>
        <w:outlineLvl w:val="0"/>
        <w:rPr>
          <w:rFonts w:ascii="Times New Roman" w:hAnsi="Times New Roman"/>
          <w:b/>
          <w:kern w:val="36"/>
          <w:szCs w:val="20"/>
          <w:lang w:val="en-GB" w:eastAsia="fr-FR"/>
        </w:rPr>
      </w:pPr>
      <w:r w:rsidRPr="005D0BA7">
        <w:rPr>
          <w:rFonts w:ascii="Times New Roman" w:hAnsi="Times New Roman"/>
          <w:b/>
          <w:kern w:val="36"/>
          <w:szCs w:val="20"/>
          <w:lang w:val="en-GB" w:eastAsia="fr-FR"/>
        </w:rPr>
        <w:t xml:space="preserve">La banlieue au risque des définitions </w:t>
      </w:r>
    </w:p>
    <w:p w:rsidR="007A12FD" w:rsidRPr="005D0BA7" w:rsidRDefault="007A12FD" w:rsidP="002450FA">
      <w:pPr>
        <w:pBdr>
          <w:top w:val="single" w:sz="4" w:space="1" w:color="auto"/>
          <w:left w:val="single" w:sz="4" w:space="4" w:color="auto"/>
          <w:bottom w:val="single" w:sz="4" w:space="1" w:color="auto"/>
          <w:right w:val="single" w:sz="4" w:space="4" w:color="auto"/>
        </w:pBdr>
        <w:spacing w:beforeLines="1" w:afterLines="1"/>
        <w:jc w:val="both"/>
        <w:rPr>
          <w:rFonts w:ascii="Times New Roman" w:hAnsi="Times New Roman" w:cs="Times New Roman"/>
          <w:b/>
          <w:szCs w:val="20"/>
          <w:lang w:val="en-GB" w:eastAsia="fr-FR"/>
        </w:rPr>
      </w:pPr>
      <w:r w:rsidRPr="005D0BA7">
        <w:rPr>
          <w:rFonts w:ascii="Times New Roman" w:hAnsi="Times New Roman" w:cs="Times New Roman"/>
          <w:szCs w:val="20"/>
          <w:lang w:val="en-GB" w:eastAsia="fr-FR"/>
        </w:rPr>
        <w:t>[…]</w:t>
      </w:r>
    </w:p>
    <w:p w:rsidR="007A12FD" w:rsidRPr="005D0BA7" w:rsidRDefault="007A12FD" w:rsidP="002450FA">
      <w:pPr>
        <w:pBdr>
          <w:top w:val="single" w:sz="4" w:space="1" w:color="auto"/>
          <w:left w:val="single" w:sz="4" w:space="4" w:color="auto"/>
          <w:bottom w:val="single" w:sz="4" w:space="1" w:color="auto"/>
          <w:right w:val="single" w:sz="4" w:space="4" w:color="auto"/>
        </w:pBdr>
        <w:spacing w:beforeLines="1" w:afterLines="1"/>
        <w:jc w:val="both"/>
        <w:outlineLvl w:val="1"/>
        <w:rPr>
          <w:rFonts w:ascii="Times New Roman" w:hAnsi="Times New Roman"/>
          <w:b/>
          <w:szCs w:val="20"/>
          <w:lang w:val="en-GB" w:eastAsia="fr-FR"/>
        </w:rPr>
      </w:pPr>
      <w:bookmarkStart w:id="0" w:name="Des_paysages_de_banlieue_très_diversifié"/>
      <w:bookmarkEnd w:id="0"/>
      <w:r w:rsidRPr="005D0BA7">
        <w:rPr>
          <w:rFonts w:ascii="Times New Roman" w:hAnsi="Times New Roman"/>
          <w:b/>
          <w:szCs w:val="20"/>
          <w:lang w:val="en-GB" w:eastAsia="fr-FR"/>
        </w:rPr>
        <w:t>Des paysages de banlieue très diversifiés</w:t>
      </w:r>
    </w:p>
    <w:p w:rsidR="005D0BA7" w:rsidRDefault="007A12FD" w:rsidP="002450FA">
      <w:pPr>
        <w:pBdr>
          <w:top w:val="single" w:sz="4" w:space="1" w:color="auto"/>
          <w:left w:val="single" w:sz="4" w:space="4" w:color="auto"/>
          <w:bottom w:val="single" w:sz="4" w:space="1" w:color="auto"/>
          <w:right w:val="single" w:sz="4" w:space="4" w:color="auto"/>
        </w:pBdr>
        <w:spacing w:beforeLines="1" w:afterLines="1"/>
        <w:jc w:val="both"/>
        <w:rPr>
          <w:rFonts w:ascii="Times New Roman" w:hAnsi="Times New Roman" w:cs="Times New Roman"/>
          <w:szCs w:val="20"/>
          <w:lang w:val="en-GB" w:eastAsia="fr-FR"/>
        </w:rPr>
      </w:pPr>
      <w:r w:rsidRPr="005D0BA7">
        <w:rPr>
          <w:rFonts w:ascii="Times New Roman" w:hAnsi="Times New Roman" w:cs="Times New Roman"/>
          <w:b/>
          <w:szCs w:val="20"/>
          <w:lang w:val="en-GB" w:eastAsia="fr-FR"/>
        </w:rPr>
        <w:t xml:space="preserve">Toute globalisation rapide concernant les populations de banlieue serait </w:t>
      </w:r>
      <w:proofErr w:type="gramStart"/>
      <w:r w:rsidRPr="005D0BA7">
        <w:rPr>
          <w:rFonts w:ascii="Times New Roman" w:hAnsi="Times New Roman" w:cs="Times New Roman"/>
          <w:b/>
          <w:szCs w:val="20"/>
          <w:lang w:val="en-GB" w:eastAsia="fr-FR"/>
        </w:rPr>
        <w:t>hasardeuse</w:t>
      </w:r>
      <w:r w:rsidRPr="005D0BA7">
        <w:rPr>
          <w:rFonts w:ascii="Times New Roman" w:hAnsi="Times New Roman" w:cs="Times New Roman"/>
          <w:szCs w:val="20"/>
          <w:lang w:val="en-GB" w:eastAsia="fr-FR"/>
        </w:rPr>
        <w:t xml:space="preserve"> ;</w:t>
      </w:r>
      <w:proofErr w:type="gramEnd"/>
      <w:r w:rsidRPr="005D0BA7">
        <w:rPr>
          <w:rFonts w:ascii="Times New Roman" w:hAnsi="Times New Roman" w:cs="Times New Roman"/>
          <w:szCs w:val="20"/>
          <w:lang w:val="en-GB" w:eastAsia="fr-FR"/>
        </w:rPr>
        <w:t xml:space="preserve"> de même, toute généralisation à propos des paysages de banlieue serait sujette à caution. </w:t>
      </w:r>
      <w:proofErr w:type="gramStart"/>
      <w:r w:rsidRPr="005D0BA7">
        <w:rPr>
          <w:rFonts w:ascii="Times New Roman" w:hAnsi="Times New Roman" w:cs="Times New Roman"/>
          <w:szCs w:val="20"/>
          <w:lang w:val="en-GB" w:eastAsia="fr-FR"/>
        </w:rPr>
        <w:t>En fait, dans le cadre français, la banlieue se caractérise par des paysages extrêmement variés.</w:t>
      </w:r>
      <w:proofErr w:type="gramEnd"/>
      <w:r w:rsidRPr="005D0BA7">
        <w:rPr>
          <w:rFonts w:ascii="Times New Roman" w:hAnsi="Times New Roman" w:cs="Times New Roman"/>
          <w:szCs w:val="20"/>
          <w:lang w:val="en-GB" w:eastAsia="fr-FR"/>
        </w:rPr>
        <w:t xml:space="preserve"> Le caractère composite de son organisation et de son architecture permet même de la </w:t>
      </w:r>
      <w:proofErr w:type="gramStart"/>
      <w:r w:rsidRPr="005D0BA7">
        <w:rPr>
          <w:rFonts w:ascii="Times New Roman" w:hAnsi="Times New Roman" w:cs="Times New Roman"/>
          <w:szCs w:val="20"/>
          <w:lang w:val="en-GB" w:eastAsia="fr-FR"/>
        </w:rPr>
        <w:t>qualifier :</w:t>
      </w:r>
      <w:proofErr w:type="gramEnd"/>
      <w:r w:rsidRPr="005D0BA7">
        <w:rPr>
          <w:rFonts w:ascii="Times New Roman" w:hAnsi="Times New Roman" w:cs="Times New Roman"/>
          <w:szCs w:val="20"/>
          <w:lang w:val="en-GB" w:eastAsia="fr-FR"/>
        </w:rPr>
        <w:t xml:space="preserve"> zones industrielles comprenant parfois d'anciennes cités patronales, immeubles collectifs de taille réduite et sans style particulier, maisonnettes isolées, lotissements pavillonnaires de style très divers, grands ensembles d'habitat collectif ou quartiers de villes nouvelles à l'architecture novatrice. Conformément au </w:t>
      </w:r>
      <w:proofErr w:type="gramStart"/>
      <w:r w:rsidRPr="005D0BA7">
        <w:rPr>
          <w:rFonts w:ascii="Times New Roman" w:hAnsi="Times New Roman" w:cs="Times New Roman"/>
          <w:szCs w:val="20"/>
          <w:lang w:val="en-GB" w:eastAsia="fr-FR"/>
        </w:rPr>
        <w:t>principe</w:t>
      </w:r>
      <w:proofErr w:type="gramEnd"/>
      <w:r w:rsidRPr="005D0BA7">
        <w:rPr>
          <w:rFonts w:ascii="Times New Roman" w:hAnsi="Times New Roman" w:cs="Times New Roman"/>
          <w:szCs w:val="20"/>
          <w:lang w:val="en-GB" w:eastAsia="fr-FR"/>
        </w:rPr>
        <w:t xml:space="preserve"> de la séparation des fonctions, les périphéries urbaines les plus récentes se composent non seulement d'un habitat pavillonnaire de densité et de qualité variables, mais aussi de vastes centres commerciaux et de secteurs d'activités conçues sur le modèle anglo-saxon avec des immeubles de bureau sur dalle ou de plain-pied entourés de larges espaces verts. Mélange hybride, la banlieue ne serait </w:t>
      </w:r>
      <w:proofErr w:type="gramStart"/>
      <w:r w:rsidRPr="005D0BA7">
        <w:rPr>
          <w:rFonts w:ascii="Times New Roman" w:hAnsi="Times New Roman" w:cs="Times New Roman"/>
          <w:szCs w:val="20"/>
          <w:lang w:val="en-GB" w:eastAsia="fr-FR"/>
        </w:rPr>
        <w:t>ni</w:t>
      </w:r>
      <w:proofErr w:type="gramEnd"/>
      <w:r w:rsidRPr="005D0BA7">
        <w:rPr>
          <w:rFonts w:ascii="Times New Roman" w:hAnsi="Times New Roman" w:cs="Times New Roman"/>
          <w:szCs w:val="20"/>
          <w:lang w:val="en-GB" w:eastAsia="fr-FR"/>
        </w:rPr>
        <w:t xml:space="preserve"> ville, ni campagne. </w:t>
      </w:r>
      <w:r w:rsidR="00A362A5" w:rsidRPr="005D0BA7">
        <w:rPr>
          <w:rFonts w:ascii="Times New Roman" w:hAnsi="Times New Roman" w:cs="Times New Roman"/>
          <w:szCs w:val="20"/>
          <w:lang w:val="en-GB" w:eastAsia="fr-FR"/>
        </w:rPr>
        <w:t xml:space="preserve"> </w:t>
      </w:r>
    </w:p>
    <w:p w:rsidR="007A12FD" w:rsidRPr="005D0BA7" w:rsidRDefault="007A12FD" w:rsidP="002450FA">
      <w:pPr>
        <w:pBdr>
          <w:top w:val="single" w:sz="4" w:space="1" w:color="auto"/>
          <w:left w:val="single" w:sz="4" w:space="4" w:color="auto"/>
          <w:bottom w:val="single" w:sz="4" w:space="1" w:color="auto"/>
          <w:right w:val="single" w:sz="4" w:space="4" w:color="auto"/>
        </w:pBdr>
        <w:spacing w:beforeLines="1" w:afterLines="1"/>
        <w:jc w:val="both"/>
        <w:rPr>
          <w:rFonts w:ascii="Times New Roman" w:hAnsi="Times New Roman" w:cs="Times New Roman"/>
          <w:szCs w:val="20"/>
          <w:lang w:val="en-GB" w:eastAsia="fr-FR"/>
        </w:rPr>
      </w:pPr>
      <w:r w:rsidRPr="005D0BA7">
        <w:rPr>
          <w:rFonts w:ascii="Times New Roman" w:hAnsi="Times New Roman" w:cs="Times New Roman"/>
          <w:szCs w:val="20"/>
          <w:lang w:val="en-GB" w:eastAsia="fr-FR"/>
        </w:rPr>
        <w:t>[…]</w:t>
      </w:r>
    </w:p>
    <w:p w:rsidR="007A12FD" w:rsidRPr="005D0BA7" w:rsidRDefault="007A12FD" w:rsidP="002450FA">
      <w:pPr>
        <w:pBdr>
          <w:top w:val="single" w:sz="4" w:space="1" w:color="auto"/>
          <w:left w:val="single" w:sz="4" w:space="4" w:color="auto"/>
          <w:bottom w:val="single" w:sz="4" w:space="1" w:color="auto"/>
          <w:right w:val="single" w:sz="4" w:space="4" w:color="auto"/>
        </w:pBdr>
        <w:spacing w:beforeLines="1" w:afterLines="1"/>
        <w:jc w:val="both"/>
        <w:outlineLvl w:val="1"/>
        <w:rPr>
          <w:rFonts w:ascii="Times New Roman" w:hAnsi="Times New Roman"/>
          <w:b/>
          <w:szCs w:val="20"/>
          <w:lang w:val="en-GB" w:eastAsia="fr-FR"/>
        </w:rPr>
      </w:pPr>
      <w:r w:rsidRPr="005D0BA7">
        <w:rPr>
          <w:rFonts w:ascii="Times New Roman" w:hAnsi="Times New Roman"/>
          <w:b/>
          <w:szCs w:val="20"/>
          <w:lang w:val="en-GB" w:eastAsia="fr-FR"/>
        </w:rPr>
        <w:t>De multiples critères de distinction pour les communes de banlieue</w:t>
      </w:r>
    </w:p>
    <w:p w:rsidR="005D0BA7" w:rsidRDefault="007A12FD" w:rsidP="002450FA">
      <w:pPr>
        <w:pBdr>
          <w:top w:val="single" w:sz="4" w:space="1" w:color="auto"/>
          <w:left w:val="single" w:sz="4" w:space="4" w:color="auto"/>
          <w:bottom w:val="single" w:sz="4" w:space="1" w:color="auto"/>
          <w:right w:val="single" w:sz="4" w:space="4" w:color="auto"/>
        </w:pBdr>
        <w:spacing w:beforeLines="1" w:afterLines="1"/>
        <w:jc w:val="both"/>
        <w:rPr>
          <w:rFonts w:ascii="Times New Roman" w:hAnsi="Times New Roman" w:cs="Times New Roman"/>
          <w:szCs w:val="20"/>
          <w:lang w:val="en-GB" w:eastAsia="fr-FR"/>
        </w:rPr>
      </w:pPr>
      <w:r w:rsidRPr="005D0BA7">
        <w:rPr>
          <w:rFonts w:ascii="Times New Roman" w:hAnsi="Times New Roman" w:cs="Times New Roman"/>
          <w:b/>
          <w:szCs w:val="20"/>
          <w:lang w:val="en-GB" w:eastAsia="fr-FR"/>
        </w:rPr>
        <w:t xml:space="preserve">Les banlieues se distinguent d'abord par </w:t>
      </w:r>
      <w:r w:rsidRPr="005D0BA7">
        <w:rPr>
          <w:rFonts w:ascii="Times New Roman" w:hAnsi="Times New Roman" w:cs="Times New Roman"/>
          <w:szCs w:val="20"/>
          <w:lang w:val="en-GB" w:eastAsia="fr-FR"/>
        </w:rPr>
        <w:t>leur</w:t>
      </w:r>
      <w:r w:rsidRPr="005D0BA7">
        <w:rPr>
          <w:rFonts w:ascii="Times New Roman" w:hAnsi="Times New Roman" w:cs="Times New Roman"/>
          <w:b/>
          <w:szCs w:val="20"/>
          <w:lang w:val="en-GB" w:eastAsia="fr-FR"/>
        </w:rPr>
        <w:t xml:space="preserve"> </w:t>
      </w:r>
      <w:r w:rsidRPr="005D0BA7">
        <w:rPr>
          <w:rFonts w:ascii="Times New Roman" w:hAnsi="Times New Roman" w:cs="Times New Roman"/>
          <w:szCs w:val="20"/>
          <w:lang w:val="en-GB" w:eastAsia="fr-FR"/>
        </w:rPr>
        <w:t xml:space="preserve">dynamisme démographique </w:t>
      </w:r>
      <w:proofErr w:type="gramStart"/>
      <w:r w:rsidRPr="005D0BA7">
        <w:rPr>
          <w:rFonts w:ascii="Times New Roman" w:hAnsi="Times New Roman" w:cs="Times New Roman"/>
          <w:szCs w:val="20"/>
          <w:lang w:val="en-GB" w:eastAsia="fr-FR"/>
        </w:rPr>
        <w:t>et</w:t>
      </w:r>
      <w:proofErr w:type="gramEnd"/>
      <w:r w:rsidRPr="005D0BA7">
        <w:rPr>
          <w:rFonts w:ascii="Times New Roman" w:hAnsi="Times New Roman" w:cs="Times New Roman"/>
          <w:szCs w:val="20"/>
          <w:lang w:val="en-GB" w:eastAsia="fr-FR"/>
        </w:rPr>
        <w:t xml:space="preserve"> économique, leur dimension, leur population et l'importance de la ville-centre à laquelle elles sont reliées. </w:t>
      </w:r>
      <w:r w:rsidR="00A362A5" w:rsidRPr="005D0BA7">
        <w:rPr>
          <w:rFonts w:ascii="Times New Roman" w:hAnsi="Times New Roman" w:cs="Times New Roman"/>
          <w:szCs w:val="20"/>
          <w:lang w:val="en-GB" w:eastAsia="fr-FR"/>
        </w:rPr>
        <w:t xml:space="preserve"> </w:t>
      </w:r>
    </w:p>
    <w:p w:rsidR="007A12FD" w:rsidRPr="005D0BA7" w:rsidRDefault="007A12FD" w:rsidP="002450FA">
      <w:pPr>
        <w:pBdr>
          <w:top w:val="single" w:sz="4" w:space="1" w:color="auto"/>
          <w:left w:val="single" w:sz="4" w:space="4" w:color="auto"/>
          <w:bottom w:val="single" w:sz="4" w:space="1" w:color="auto"/>
          <w:right w:val="single" w:sz="4" w:space="4" w:color="auto"/>
        </w:pBdr>
        <w:spacing w:beforeLines="1" w:afterLines="1"/>
        <w:jc w:val="both"/>
        <w:rPr>
          <w:rFonts w:ascii="Times New Roman" w:hAnsi="Times New Roman" w:cs="Times New Roman"/>
          <w:szCs w:val="20"/>
          <w:lang w:val="en-GB" w:eastAsia="fr-FR"/>
        </w:rPr>
      </w:pPr>
      <w:r w:rsidRPr="005D0BA7">
        <w:rPr>
          <w:rFonts w:ascii="Times New Roman" w:hAnsi="Times New Roman" w:cs="Times New Roman"/>
          <w:szCs w:val="20"/>
          <w:lang w:val="en-GB" w:eastAsia="fr-FR"/>
        </w:rPr>
        <w:t>[…]</w:t>
      </w:r>
    </w:p>
    <w:p w:rsidR="00963DC9" w:rsidRPr="005D0BA7" w:rsidRDefault="007A12FD" w:rsidP="002450FA">
      <w:pPr>
        <w:pBdr>
          <w:top w:val="single" w:sz="4" w:space="1" w:color="auto"/>
          <w:left w:val="single" w:sz="4" w:space="4" w:color="auto"/>
          <w:bottom w:val="single" w:sz="4" w:space="1" w:color="auto"/>
          <w:right w:val="single" w:sz="4" w:space="4" w:color="auto"/>
        </w:pBdr>
        <w:spacing w:beforeLines="1" w:afterLines="1"/>
        <w:jc w:val="both"/>
        <w:rPr>
          <w:rFonts w:ascii="Times New Roman" w:hAnsi="Times New Roman" w:cs="Times New Roman"/>
          <w:szCs w:val="20"/>
          <w:lang w:val="en-GB" w:eastAsia="fr-FR"/>
        </w:rPr>
      </w:pPr>
      <w:r w:rsidRPr="005D0BA7">
        <w:rPr>
          <w:rFonts w:ascii="Times New Roman" w:hAnsi="Times New Roman" w:cs="Times New Roman"/>
          <w:b/>
          <w:szCs w:val="20"/>
          <w:lang w:val="en-GB" w:eastAsia="fr-FR"/>
        </w:rPr>
        <w:t xml:space="preserve">Le profil dominant des actifs dans une commune </w:t>
      </w:r>
      <w:proofErr w:type="gramStart"/>
      <w:r w:rsidRPr="005D0BA7">
        <w:rPr>
          <w:rFonts w:ascii="Times New Roman" w:hAnsi="Times New Roman" w:cs="Times New Roman"/>
          <w:b/>
          <w:szCs w:val="20"/>
          <w:lang w:val="en-GB" w:eastAsia="fr-FR"/>
        </w:rPr>
        <w:t>est</w:t>
      </w:r>
      <w:proofErr w:type="gramEnd"/>
      <w:r w:rsidRPr="005D0BA7">
        <w:rPr>
          <w:rFonts w:ascii="Times New Roman" w:hAnsi="Times New Roman" w:cs="Times New Roman"/>
          <w:b/>
          <w:szCs w:val="20"/>
          <w:lang w:val="en-GB" w:eastAsia="fr-FR"/>
        </w:rPr>
        <w:t xml:space="preserve"> un autre critère de différenciation</w:t>
      </w:r>
      <w:r w:rsidRPr="005D0BA7">
        <w:rPr>
          <w:rFonts w:ascii="Times New Roman" w:hAnsi="Times New Roman" w:cs="Times New Roman"/>
          <w:szCs w:val="20"/>
          <w:lang w:val="en-GB" w:eastAsia="fr-FR"/>
        </w:rPr>
        <w:t xml:space="preserve"> important. On distingue ainsi les banlieues ouvrières des banlieues bourgeoises composées d'un taux élevé de cadres d'entreprises </w:t>
      </w:r>
      <w:proofErr w:type="gramStart"/>
      <w:r w:rsidRPr="005D0BA7">
        <w:rPr>
          <w:rFonts w:ascii="Times New Roman" w:hAnsi="Times New Roman" w:cs="Times New Roman"/>
          <w:szCs w:val="20"/>
          <w:lang w:val="en-GB" w:eastAsia="fr-FR"/>
        </w:rPr>
        <w:t>et</w:t>
      </w:r>
      <w:proofErr w:type="gramEnd"/>
      <w:r w:rsidRPr="005D0BA7">
        <w:rPr>
          <w:rFonts w:ascii="Times New Roman" w:hAnsi="Times New Roman" w:cs="Times New Roman"/>
          <w:szCs w:val="20"/>
          <w:lang w:val="en-GB" w:eastAsia="fr-FR"/>
        </w:rPr>
        <w:t xml:space="preserve"> de professions intermédiaires du secteur public. Dans les agglomérations parisienne </w:t>
      </w:r>
      <w:proofErr w:type="gramStart"/>
      <w:r w:rsidRPr="005D0BA7">
        <w:rPr>
          <w:rFonts w:ascii="Times New Roman" w:hAnsi="Times New Roman" w:cs="Times New Roman"/>
          <w:szCs w:val="20"/>
          <w:lang w:val="en-GB" w:eastAsia="fr-FR"/>
        </w:rPr>
        <w:t>et</w:t>
      </w:r>
      <w:proofErr w:type="gramEnd"/>
      <w:r w:rsidRPr="005D0BA7">
        <w:rPr>
          <w:rFonts w:ascii="Times New Roman" w:hAnsi="Times New Roman" w:cs="Times New Roman"/>
          <w:szCs w:val="20"/>
          <w:lang w:val="en-GB" w:eastAsia="fr-FR"/>
        </w:rPr>
        <w:t xml:space="preserve"> lyonnaise, les études montrent que les profils sociaux des communes ont tendance à se renforcer. </w:t>
      </w:r>
    </w:p>
    <w:p w:rsidR="005D0BA7" w:rsidRDefault="005D0BA7" w:rsidP="00FC0BBF">
      <w:pPr>
        <w:pStyle w:val="Default"/>
        <w:rPr>
          <w:b/>
        </w:rPr>
      </w:pPr>
    </w:p>
    <w:p w:rsidR="005D0BA7" w:rsidRDefault="005D0BA7" w:rsidP="00FC0BBF">
      <w:pPr>
        <w:pStyle w:val="Default"/>
        <w:rPr>
          <w:b/>
        </w:rPr>
      </w:pPr>
    </w:p>
    <w:p w:rsidR="00963DC9" w:rsidRDefault="00963DC9" w:rsidP="00FC0BBF">
      <w:pPr>
        <w:pStyle w:val="Default"/>
      </w:pPr>
      <w:r w:rsidRPr="008F45FB">
        <w:rPr>
          <w:b/>
        </w:rPr>
        <w:t xml:space="preserve">Document </w:t>
      </w:r>
      <w:r w:rsidR="000E36E8">
        <w:rPr>
          <w:b/>
        </w:rPr>
        <w:t>6</w:t>
      </w:r>
      <w:r w:rsidRPr="008F45FB">
        <w:rPr>
          <w:b/>
        </w:rPr>
        <w:t> </w:t>
      </w:r>
      <w:r>
        <w:t>: Les aires urbaines en France métropolinaire.</w:t>
      </w:r>
    </w:p>
    <w:p w:rsidR="005D0BA7" w:rsidRDefault="00963DC9" w:rsidP="00FC0BBF">
      <w:pPr>
        <w:pStyle w:val="Default"/>
        <w:rPr>
          <w:sz w:val="20"/>
        </w:rPr>
      </w:pPr>
      <w:r w:rsidRPr="008F45FB">
        <w:rPr>
          <w:sz w:val="20"/>
        </w:rPr>
        <w:t xml:space="preserve">Source : </w:t>
      </w:r>
      <w:r w:rsidR="007A12FD" w:rsidRPr="008F45FB">
        <w:rPr>
          <w:sz w:val="20"/>
        </w:rPr>
        <w:t>« Le nouveau zonage en aires urbaines de 2010, INSEE PREMIERE, n°1374, octobre 2011.</w:t>
      </w:r>
    </w:p>
    <w:p w:rsidR="005D0BA7" w:rsidRDefault="005D0BA7" w:rsidP="00FC0BBF">
      <w:pPr>
        <w:pStyle w:val="Default"/>
        <w:rPr>
          <w:sz w:val="20"/>
        </w:rPr>
      </w:pPr>
    </w:p>
    <w:p w:rsidR="005D0BA7" w:rsidRDefault="005D0BA7" w:rsidP="005D0BA7">
      <w:pPr>
        <w:tabs>
          <w:tab w:val="left" w:pos="580"/>
        </w:tabs>
        <w:spacing w:before="80" w:line="240" w:lineRule="exact"/>
      </w:pPr>
      <w:r>
        <w:tab/>
      </w:r>
    </w:p>
    <w:p w:rsidR="005D0BA7" w:rsidRDefault="005D0BA7" w:rsidP="005D0BA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Cs w:val="16"/>
        </w:rPr>
      </w:pPr>
      <w:r>
        <w:rPr>
          <w:rFonts w:ascii="Times New Roman" w:hAnsi="Times New Roman" w:cs="Times New Roman"/>
          <w:szCs w:val="16"/>
        </w:rPr>
        <w:t>DEFINITION</w:t>
      </w:r>
    </w:p>
    <w:p w:rsidR="005D0BA7" w:rsidRDefault="005D0BA7" w:rsidP="005D0BA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Cs w:val="16"/>
        </w:rPr>
      </w:pPr>
      <w:r w:rsidRPr="008E46FB">
        <w:rPr>
          <w:rFonts w:ascii="Times New Roman" w:hAnsi="Times New Roman" w:cs="Times New Roman"/>
          <w:szCs w:val="16"/>
        </w:rPr>
        <w:t xml:space="preserve">Une </w:t>
      </w:r>
      <w:r w:rsidRPr="008E46FB">
        <w:rPr>
          <w:rFonts w:ascii="‡Pˆø¥" w:hAnsi="‡Pˆø¥" w:cs="‡Pˆø¥"/>
          <w:b/>
          <w:szCs w:val="16"/>
        </w:rPr>
        <w:t>aire</w:t>
      </w:r>
      <w:r w:rsidRPr="008E46FB">
        <w:rPr>
          <w:rFonts w:ascii="‡Pˆø¥" w:hAnsi="‡Pˆø¥" w:cs="‡Pˆø¥"/>
          <w:szCs w:val="16"/>
        </w:rPr>
        <w:t xml:space="preserve"> </w:t>
      </w:r>
      <w:r w:rsidRPr="008E46FB">
        <w:rPr>
          <w:rFonts w:ascii="Times New Roman" w:hAnsi="Times New Roman" w:cs="Times New Roman"/>
          <w:szCs w:val="16"/>
        </w:rPr>
        <w:t xml:space="preserve">est composée d’un </w:t>
      </w:r>
      <w:r w:rsidRPr="008E46FB">
        <w:rPr>
          <w:rFonts w:ascii="‡Pˆø¥" w:hAnsi="‡Pˆø¥" w:cs="‡Pˆø¥"/>
          <w:szCs w:val="16"/>
        </w:rPr>
        <w:t xml:space="preserve">pôle </w:t>
      </w:r>
      <w:r w:rsidRPr="008E46FB">
        <w:rPr>
          <w:rFonts w:ascii="Times New Roman" w:hAnsi="Times New Roman" w:cs="Times New Roman"/>
          <w:szCs w:val="16"/>
        </w:rPr>
        <w:t xml:space="preserve">et le plus souvent d’une couronne. </w:t>
      </w:r>
    </w:p>
    <w:p w:rsidR="005D0BA7" w:rsidRDefault="005D0BA7" w:rsidP="005D0BA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Cs w:val="16"/>
        </w:rPr>
      </w:pPr>
      <w:r w:rsidRPr="008E46FB">
        <w:rPr>
          <w:rFonts w:ascii="Times New Roman" w:hAnsi="Times New Roman" w:cs="Times New Roman"/>
          <w:szCs w:val="16"/>
        </w:rPr>
        <w:t xml:space="preserve">Un </w:t>
      </w:r>
      <w:r w:rsidRPr="008E46FB">
        <w:rPr>
          <w:rFonts w:ascii="‡Pˆø¥" w:hAnsi="‡Pˆø¥" w:cs="‡Pˆø¥"/>
          <w:b/>
          <w:szCs w:val="16"/>
        </w:rPr>
        <w:t>pôle</w:t>
      </w:r>
      <w:r w:rsidRPr="008E46FB">
        <w:rPr>
          <w:rFonts w:ascii="‡Pˆø¥" w:hAnsi="‡Pˆø¥" w:cs="‡Pˆø¥"/>
          <w:szCs w:val="16"/>
        </w:rPr>
        <w:t xml:space="preserve"> </w:t>
      </w:r>
      <w:r w:rsidRPr="008E46FB">
        <w:rPr>
          <w:rFonts w:ascii="Times New Roman" w:hAnsi="Times New Roman" w:cs="Times New Roman"/>
          <w:szCs w:val="16"/>
        </w:rPr>
        <w:t xml:space="preserve">est une </w:t>
      </w:r>
      <w:r w:rsidRPr="008E46FB">
        <w:rPr>
          <w:rFonts w:ascii="Times New Roman" w:hAnsi="Times New Roman" w:cs="Times New Roman"/>
          <w:b/>
          <w:szCs w:val="16"/>
        </w:rPr>
        <w:t>unité urbaine d’au moins 1 500 emplois</w:t>
      </w:r>
      <w:r w:rsidRPr="008E46FB">
        <w:rPr>
          <w:rFonts w:ascii="Times New Roman" w:hAnsi="Times New Roman" w:cs="Times New Roman"/>
          <w:szCs w:val="16"/>
        </w:rPr>
        <w:t xml:space="preserve">. </w:t>
      </w:r>
    </w:p>
    <w:p w:rsidR="005D0BA7" w:rsidRPr="008E46FB" w:rsidRDefault="005D0BA7" w:rsidP="005D0BA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Cs w:val="16"/>
        </w:rPr>
      </w:pPr>
      <w:r w:rsidRPr="008E46FB">
        <w:rPr>
          <w:rFonts w:ascii="Times New Roman" w:hAnsi="Times New Roman" w:cs="Times New Roman"/>
          <w:szCs w:val="16"/>
        </w:rPr>
        <w:t xml:space="preserve">Sa </w:t>
      </w:r>
      <w:r w:rsidRPr="00043F9A">
        <w:rPr>
          <w:rFonts w:ascii="‡Pˆø¥" w:hAnsi="‡Pˆø¥" w:cs="‡Pˆø¥"/>
          <w:b/>
          <w:szCs w:val="16"/>
        </w:rPr>
        <w:t>couronne</w:t>
      </w:r>
      <w:r w:rsidRPr="008E46FB">
        <w:rPr>
          <w:rFonts w:ascii="‡Pˆø¥" w:hAnsi="‡Pˆø¥" w:cs="‡Pˆø¥"/>
          <w:szCs w:val="16"/>
        </w:rPr>
        <w:t xml:space="preserve"> </w:t>
      </w:r>
      <w:r w:rsidRPr="008E46FB">
        <w:rPr>
          <w:rFonts w:ascii="Times New Roman" w:hAnsi="Times New Roman" w:cs="Times New Roman"/>
          <w:szCs w:val="16"/>
        </w:rPr>
        <w:t>correspond aux communes ou unités urbaines, dont au moins 40 % de la</w:t>
      </w:r>
      <w:r>
        <w:rPr>
          <w:rFonts w:ascii="Times New Roman" w:hAnsi="Times New Roman" w:cs="Times New Roman"/>
          <w:szCs w:val="16"/>
        </w:rPr>
        <w:t xml:space="preserve"> </w:t>
      </w:r>
      <w:r w:rsidRPr="008E46FB">
        <w:rPr>
          <w:rFonts w:ascii="Times New Roman" w:hAnsi="Times New Roman" w:cs="Times New Roman"/>
          <w:szCs w:val="16"/>
        </w:rPr>
        <w:t>population résidente ayant un emploi</w:t>
      </w:r>
      <w:r>
        <w:rPr>
          <w:rFonts w:ascii="Times New Roman" w:hAnsi="Times New Roman" w:cs="Times New Roman"/>
          <w:szCs w:val="16"/>
        </w:rPr>
        <w:t xml:space="preserve"> </w:t>
      </w:r>
      <w:r w:rsidRPr="008E46FB">
        <w:rPr>
          <w:rFonts w:ascii="Times New Roman" w:hAnsi="Times New Roman" w:cs="Times New Roman"/>
          <w:szCs w:val="16"/>
        </w:rPr>
        <w:t>travaille dans le pôle ou dans les communes</w:t>
      </w:r>
      <w:r>
        <w:rPr>
          <w:rFonts w:ascii="Times New Roman" w:hAnsi="Times New Roman" w:cs="Times New Roman"/>
          <w:szCs w:val="16"/>
        </w:rPr>
        <w:t xml:space="preserve"> </w:t>
      </w:r>
      <w:r w:rsidRPr="008E46FB">
        <w:rPr>
          <w:rFonts w:ascii="Times New Roman" w:hAnsi="Times New Roman" w:cs="Times New Roman"/>
          <w:szCs w:val="16"/>
        </w:rPr>
        <w:t>attirées par celui-ci selon un processus</w:t>
      </w:r>
      <w:r>
        <w:rPr>
          <w:rFonts w:ascii="Times New Roman" w:hAnsi="Times New Roman" w:cs="Times New Roman"/>
          <w:szCs w:val="16"/>
        </w:rPr>
        <w:t xml:space="preserve"> </w:t>
      </w:r>
      <w:r w:rsidRPr="008E46FB">
        <w:rPr>
          <w:rFonts w:ascii="Times New Roman" w:hAnsi="Times New Roman" w:cs="Times New Roman"/>
          <w:szCs w:val="16"/>
        </w:rPr>
        <w:t>itératif.</w:t>
      </w:r>
    </w:p>
    <w:p w:rsidR="005D0BA7" w:rsidRPr="008E46FB" w:rsidRDefault="005D0BA7" w:rsidP="005D0BA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Cs w:val="16"/>
        </w:rPr>
      </w:pPr>
      <w:r w:rsidRPr="008E46FB">
        <w:rPr>
          <w:rFonts w:ascii="Times New Roman" w:hAnsi="Times New Roman" w:cs="Times New Roman"/>
          <w:szCs w:val="16"/>
        </w:rPr>
        <w:t xml:space="preserve">Une </w:t>
      </w:r>
      <w:r w:rsidRPr="00043F9A">
        <w:rPr>
          <w:rFonts w:ascii="‡Pˆø¥" w:hAnsi="‡Pˆø¥" w:cs="‡Pˆø¥"/>
          <w:b/>
          <w:szCs w:val="16"/>
        </w:rPr>
        <w:t>unité urbaine</w:t>
      </w:r>
      <w:r w:rsidRPr="008E46FB">
        <w:rPr>
          <w:rFonts w:ascii="‡Pˆø¥" w:hAnsi="‡Pˆø¥" w:cs="‡Pˆø¥"/>
          <w:szCs w:val="16"/>
        </w:rPr>
        <w:t xml:space="preserve"> </w:t>
      </w:r>
      <w:r w:rsidRPr="008E46FB">
        <w:rPr>
          <w:rFonts w:ascii="Times New Roman" w:hAnsi="Times New Roman" w:cs="Times New Roman"/>
          <w:szCs w:val="16"/>
        </w:rPr>
        <w:t>est une commune ou un</w:t>
      </w:r>
      <w:r>
        <w:rPr>
          <w:rFonts w:ascii="Times New Roman" w:hAnsi="Times New Roman" w:cs="Times New Roman"/>
          <w:szCs w:val="16"/>
        </w:rPr>
        <w:t xml:space="preserve"> </w:t>
      </w:r>
      <w:r w:rsidRPr="008E46FB">
        <w:rPr>
          <w:rFonts w:ascii="Times New Roman" w:hAnsi="Times New Roman" w:cs="Times New Roman"/>
          <w:szCs w:val="16"/>
        </w:rPr>
        <w:t>ensemble de communes présentant une</w:t>
      </w:r>
      <w:r>
        <w:rPr>
          <w:rFonts w:ascii="Times New Roman" w:hAnsi="Times New Roman" w:cs="Times New Roman"/>
          <w:szCs w:val="16"/>
        </w:rPr>
        <w:t xml:space="preserve"> </w:t>
      </w:r>
      <w:r w:rsidRPr="008E46FB">
        <w:rPr>
          <w:rFonts w:ascii="Times New Roman" w:hAnsi="Times New Roman" w:cs="Times New Roman"/>
          <w:szCs w:val="16"/>
        </w:rPr>
        <w:t>zone de bâti continu (pas de coupure de plus</w:t>
      </w:r>
      <w:r>
        <w:rPr>
          <w:rFonts w:ascii="Times New Roman" w:hAnsi="Times New Roman" w:cs="Times New Roman"/>
          <w:szCs w:val="16"/>
        </w:rPr>
        <w:t xml:space="preserve"> </w:t>
      </w:r>
      <w:r w:rsidRPr="008E46FB">
        <w:rPr>
          <w:rFonts w:ascii="Times New Roman" w:hAnsi="Times New Roman" w:cs="Times New Roman"/>
          <w:szCs w:val="16"/>
        </w:rPr>
        <w:t>de 200 mètres entre deux constructions) qui</w:t>
      </w:r>
      <w:r>
        <w:rPr>
          <w:rFonts w:ascii="Times New Roman" w:hAnsi="Times New Roman" w:cs="Times New Roman"/>
          <w:szCs w:val="16"/>
        </w:rPr>
        <w:t xml:space="preserve"> </w:t>
      </w:r>
      <w:r w:rsidRPr="008E46FB">
        <w:rPr>
          <w:rFonts w:ascii="Times New Roman" w:hAnsi="Times New Roman" w:cs="Times New Roman"/>
          <w:szCs w:val="16"/>
        </w:rPr>
        <w:t>compte au moins 2 000 habitants. Toute</w:t>
      </w:r>
      <w:r>
        <w:rPr>
          <w:rFonts w:ascii="Times New Roman" w:hAnsi="Times New Roman" w:cs="Times New Roman"/>
          <w:szCs w:val="16"/>
        </w:rPr>
        <w:t xml:space="preserve"> </w:t>
      </w:r>
      <w:r w:rsidRPr="008E46FB">
        <w:rPr>
          <w:rFonts w:ascii="Times New Roman" w:hAnsi="Times New Roman" w:cs="Times New Roman"/>
          <w:szCs w:val="16"/>
        </w:rPr>
        <w:t>commune n’appartenant pas à une unité</w:t>
      </w:r>
      <w:r>
        <w:rPr>
          <w:rFonts w:ascii="Times New Roman" w:hAnsi="Times New Roman" w:cs="Times New Roman"/>
          <w:szCs w:val="16"/>
        </w:rPr>
        <w:t xml:space="preserve"> </w:t>
      </w:r>
      <w:r w:rsidRPr="008E46FB">
        <w:rPr>
          <w:rFonts w:ascii="Times New Roman" w:hAnsi="Times New Roman" w:cs="Times New Roman"/>
          <w:szCs w:val="16"/>
        </w:rPr>
        <w:t xml:space="preserve">urbaine est considérée comme </w:t>
      </w:r>
      <w:r w:rsidRPr="008E46FB">
        <w:rPr>
          <w:rFonts w:ascii="‡Pˆø¥" w:hAnsi="‡Pˆø¥" w:cs="‡Pˆø¥"/>
          <w:szCs w:val="16"/>
        </w:rPr>
        <w:t>rurale</w:t>
      </w:r>
      <w:r w:rsidRPr="008E46FB">
        <w:rPr>
          <w:rFonts w:ascii="Times New Roman" w:hAnsi="Times New Roman" w:cs="Times New Roman"/>
          <w:szCs w:val="16"/>
        </w:rPr>
        <w:t>.</w:t>
      </w:r>
    </w:p>
    <w:p w:rsidR="005D0BA7" w:rsidRPr="008E46FB" w:rsidRDefault="005D0BA7" w:rsidP="005D0BA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Pˆø¥" w:hAnsi="‡Pˆø¥" w:cs="‡Pˆø¥"/>
          <w:szCs w:val="16"/>
        </w:rPr>
      </w:pPr>
      <w:r w:rsidRPr="008E46FB">
        <w:rPr>
          <w:rFonts w:ascii="Times New Roman" w:hAnsi="Times New Roman" w:cs="Times New Roman"/>
          <w:szCs w:val="16"/>
        </w:rPr>
        <w:t xml:space="preserve">Les </w:t>
      </w:r>
      <w:r w:rsidRPr="00043F9A">
        <w:rPr>
          <w:rFonts w:ascii="‡Pˆø¥" w:hAnsi="‡Pˆø¥" w:cs="‡Pˆø¥"/>
          <w:b/>
          <w:szCs w:val="16"/>
        </w:rPr>
        <w:t>communes multipolarisées des grandes aires urbaines</w:t>
      </w:r>
      <w:r w:rsidRPr="008E46FB">
        <w:rPr>
          <w:rFonts w:ascii="‡Pˆø¥" w:hAnsi="‡Pˆø¥" w:cs="‡Pˆø¥"/>
          <w:szCs w:val="16"/>
        </w:rPr>
        <w:t xml:space="preserve"> </w:t>
      </w:r>
      <w:r w:rsidRPr="008E46FB">
        <w:rPr>
          <w:rFonts w:ascii="Times New Roman" w:hAnsi="Times New Roman" w:cs="Times New Roman"/>
          <w:szCs w:val="16"/>
        </w:rPr>
        <w:t>sont les communes</w:t>
      </w:r>
      <w:r>
        <w:rPr>
          <w:rFonts w:ascii="‡Pˆø¥" w:hAnsi="‡Pˆø¥" w:cs="‡Pˆø¥"/>
          <w:szCs w:val="16"/>
        </w:rPr>
        <w:t xml:space="preserve"> </w:t>
      </w:r>
      <w:r w:rsidRPr="008E46FB">
        <w:rPr>
          <w:rFonts w:ascii="Times New Roman" w:hAnsi="Times New Roman" w:cs="Times New Roman"/>
          <w:szCs w:val="16"/>
        </w:rPr>
        <w:t>situées hors des aires, dont au moins</w:t>
      </w:r>
      <w:r>
        <w:rPr>
          <w:rFonts w:ascii="‡Pˆø¥" w:hAnsi="‡Pˆø¥" w:cs="‡Pˆø¥"/>
          <w:szCs w:val="16"/>
        </w:rPr>
        <w:t xml:space="preserve"> </w:t>
      </w:r>
      <w:r w:rsidRPr="008E46FB">
        <w:rPr>
          <w:rFonts w:ascii="Times New Roman" w:hAnsi="Times New Roman" w:cs="Times New Roman"/>
          <w:szCs w:val="16"/>
        </w:rPr>
        <w:t>40 % de la population résidente ayant un</w:t>
      </w:r>
      <w:r>
        <w:rPr>
          <w:rFonts w:ascii="‡Pˆø¥" w:hAnsi="‡Pˆø¥" w:cs="‡Pˆø¥"/>
          <w:szCs w:val="16"/>
        </w:rPr>
        <w:t xml:space="preserve"> </w:t>
      </w:r>
      <w:r w:rsidRPr="008E46FB">
        <w:rPr>
          <w:rFonts w:ascii="Times New Roman" w:hAnsi="Times New Roman" w:cs="Times New Roman"/>
          <w:szCs w:val="16"/>
        </w:rPr>
        <w:t>emploi travaille dans plusieurs grandes</w:t>
      </w:r>
      <w:r>
        <w:rPr>
          <w:rFonts w:ascii="‡Pˆø¥" w:hAnsi="‡Pˆø¥" w:cs="‡Pˆø¥"/>
          <w:szCs w:val="16"/>
        </w:rPr>
        <w:t xml:space="preserve"> </w:t>
      </w:r>
      <w:r w:rsidRPr="008E46FB">
        <w:rPr>
          <w:rFonts w:ascii="Times New Roman" w:hAnsi="Times New Roman" w:cs="Times New Roman"/>
          <w:szCs w:val="16"/>
        </w:rPr>
        <w:t>aires urbaines, sans atteindre ce seuil avec</w:t>
      </w:r>
      <w:r>
        <w:rPr>
          <w:rFonts w:ascii="‡Pˆø¥" w:hAnsi="‡Pˆø¥" w:cs="‡Pˆø¥"/>
          <w:szCs w:val="16"/>
        </w:rPr>
        <w:t xml:space="preserve"> </w:t>
      </w:r>
      <w:r w:rsidRPr="008E46FB">
        <w:rPr>
          <w:rFonts w:ascii="Times New Roman" w:hAnsi="Times New Roman" w:cs="Times New Roman"/>
          <w:szCs w:val="16"/>
        </w:rPr>
        <w:t>une seule d’entre elles. Elles forment avec</w:t>
      </w:r>
      <w:r>
        <w:rPr>
          <w:rFonts w:ascii="‡Pˆø¥" w:hAnsi="‡Pˆø¥" w:cs="‡Pˆø¥"/>
          <w:szCs w:val="16"/>
        </w:rPr>
        <w:t xml:space="preserve"> </w:t>
      </w:r>
      <w:r w:rsidRPr="008E46FB">
        <w:rPr>
          <w:rFonts w:ascii="Times New Roman" w:hAnsi="Times New Roman" w:cs="Times New Roman"/>
          <w:szCs w:val="16"/>
        </w:rPr>
        <w:t>elles un ensemble d’un seul tenant, appelé</w:t>
      </w:r>
      <w:r>
        <w:rPr>
          <w:rFonts w:ascii="‡Pˆø¥" w:hAnsi="‡Pˆø¥" w:cs="‡Pˆø¥"/>
          <w:szCs w:val="16"/>
        </w:rPr>
        <w:t xml:space="preserve"> </w:t>
      </w:r>
      <w:r w:rsidRPr="008E46FB">
        <w:rPr>
          <w:rFonts w:ascii="Times New Roman" w:hAnsi="Times New Roman" w:cs="Times New Roman"/>
          <w:szCs w:val="16"/>
        </w:rPr>
        <w:t>espace des grandes aires urbaines.</w:t>
      </w:r>
    </w:p>
    <w:p w:rsidR="005D0BA7" w:rsidRPr="008E46FB" w:rsidRDefault="005D0BA7" w:rsidP="005D0BA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Pˆø¥" w:hAnsi="‡Pˆø¥" w:cs="‡Pˆø¥"/>
          <w:szCs w:val="16"/>
        </w:rPr>
      </w:pPr>
      <w:r w:rsidRPr="008E46FB">
        <w:rPr>
          <w:rFonts w:ascii="Times New Roman" w:hAnsi="Times New Roman" w:cs="Times New Roman"/>
          <w:szCs w:val="16"/>
        </w:rPr>
        <w:t xml:space="preserve">Les </w:t>
      </w:r>
      <w:r w:rsidRPr="00043F9A">
        <w:rPr>
          <w:rFonts w:ascii="‡Pˆø¥" w:hAnsi="‡Pˆø¥" w:cs="‡Pˆø¥"/>
          <w:b/>
          <w:szCs w:val="16"/>
        </w:rPr>
        <w:t>autres communes multipolarisées</w:t>
      </w:r>
      <w:r>
        <w:rPr>
          <w:rFonts w:ascii="‡Pˆø¥" w:hAnsi="‡Pˆø¥" w:cs="‡Pˆø¥"/>
          <w:szCs w:val="16"/>
        </w:rPr>
        <w:t xml:space="preserve"> </w:t>
      </w:r>
      <w:r w:rsidRPr="008E46FB">
        <w:rPr>
          <w:rFonts w:ascii="Times New Roman" w:hAnsi="Times New Roman" w:cs="Times New Roman"/>
          <w:szCs w:val="16"/>
        </w:rPr>
        <w:t>sont les communes situées hors de</w:t>
      </w:r>
      <w:r>
        <w:rPr>
          <w:rFonts w:ascii="‡Pˆø¥" w:hAnsi="‡Pˆø¥" w:cs="‡Pˆø¥"/>
          <w:szCs w:val="16"/>
        </w:rPr>
        <w:t xml:space="preserve"> </w:t>
      </w:r>
      <w:r w:rsidRPr="008E46FB">
        <w:rPr>
          <w:rFonts w:ascii="Times New Roman" w:hAnsi="Times New Roman" w:cs="Times New Roman"/>
          <w:szCs w:val="16"/>
        </w:rPr>
        <w:t>l’espace des grandes aires urbaines, dont au moins 40 % de la population résidente</w:t>
      </w:r>
      <w:r>
        <w:rPr>
          <w:rFonts w:ascii="‡Pˆø¥" w:hAnsi="‡Pˆø¥" w:cs="‡Pˆø¥"/>
          <w:szCs w:val="16"/>
        </w:rPr>
        <w:t xml:space="preserve"> </w:t>
      </w:r>
      <w:r w:rsidRPr="008E46FB">
        <w:rPr>
          <w:rFonts w:ascii="Times New Roman" w:hAnsi="Times New Roman" w:cs="Times New Roman"/>
          <w:szCs w:val="16"/>
        </w:rPr>
        <w:t>ayant un emploi travaille dans plusieurs</w:t>
      </w:r>
      <w:r>
        <w:rPr>
          <w:rFonts w:ascii="‡Pˆø¥" w:hAnsi="‡Pˆø¥" w:cs="‡Pˆø¥"/>
          <w:szCs w:val="16"/>
        </w:rPr>
        <w:t xml:space="preserve"> </w:t>
      </w:r>
      <w:r w:rsidRPr="008E46FB">
        <w:rPr>
          <w:rFonts w:ascii="Times New Roman" w:hAnsi="Times New Roman" w:cs="Times New Roman"/>
          <w:szCs w:val="16"/>
        </w:rPr>
        <w:t>aires quelle que soit leur taille.</w:t>
      </w:r>
    </w:p>
    <w:p w:rsidR="005D0BA7" w:rsidRPr="008E46FB" w:rsidRDefault="005D0BA7" w:rsidP="005D0BA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Pˆø¥" w:hAnsi="‡Pˆø¥" w:cs="‡Pˆø¥"/>
          <w:szCs w:val="16"/>
        </w:rPr>
      </w:pPr>
      <w:r w:rsidRPr="008E46FB">
        <w:rPr>
          <w:rFonts w:ascii="Times New Roman" w:hAnsi="Times New Roman" w:cs="Times New Roman"/>
          <w:szCs w:val="16"/>
        </w:rPr>
        <w:t xml:space="preserve">Les </w:t>
      </w:r>
      <w:r w:rsidRPr="008E46FB">
        <w:rPr>
          <w:rFonts w:ascii="‡Pˆø¥" w:hAnsi="‡Pˆø¥" w:cs="‡Pˆø¥"/>
          <w:szCs w:val="16"/>
        </w:rPr>
        <w:t>communes isolées hors influence</w:t>
      </w:r>
      <w:r>
        <w:rPr>
          <w:rFonts w:ascii="‡Pˆø¥" w:hAnsi="‡Pˆø¥" w:cs="‡Pˆø¥"/>
          <w:szCs w:val="16"/>
        </w:rPr>
        <w:t xml:space="preserve"> </w:t>
      </w:r>
      <w:r w:rsidRPr="008E46FB">
        <w:rPr>
          <w:rFonts w:ascii="‡Pˆø¥" w:hAnsi="‡Pˆø¥" w:cs="‡Pˆø¥"/>
          <w:szCs w:val="16"/>
        </w:rPr>
        <w:t xml:space="preserve">des pôles </w:t>
      </w:r>
      <w:r w:rsidRPr="008E46FB">
        <w:rPr>
          <w:rFonts w:ascii="Times New Roman" w:hAnsi="Times New Roman" w:cs="Times New Roman"/>
          <w:szCs w:val="16"/>
        </w:rPr>
        <w:t>sont les communes n’appartenant</w:t>
      </w:r>
      <w:r>
        <w:rPr>
          <w:rFonts w:ascii="‡Pˆø¥" w:hAnsi="‡Pˆø¥" w:cs="‡Pˆø¥"/>
          <w:szCs w:val="16"/>
        </w:rPr>
        <w:t xml:space="preserve"> </w:t>
      </w:r>
      <w:r w:rsidRPr="008E46FB">
        <w:rPr>
          <w:rFonts w:ascii="Times New Roman" w:hAnsi="Times New Roman" w:cs="Times New Roman"/>
          <w:szCs w:val="16"/>
        </w:rPr>
        <w:t>pas à une aire et</w:t>
      </w:r>
      <w:r>
        <w:rPr>
          <w:rFonts w:ascii="Times New Roman" w:hAnsi="Times New Roman" w:cs="Times New Roman"/>
          <w:szCs w:val="16"/>
        </w:rPr>
        <w:t xml:space="preserve"> </w:t>
      </w:r>
      <w:r w:rsidRPr="008E46FB">
        <w:rPr>
          <w:rFonts w:ascii="Times New Roman" w:hAnsi="Times New Roman" w:cs="Times New Roman"/>
          <w:szCs w:val="16"/>
        </w:rPr>
        <w:t>non</w:t>
      </w:r>
      <w:r>
        <w:rPr>
          <w:rFonts w:ascii="Times New Roman" w:hAnsi="Times New Roman" w:cs="Times New Roman"/>
          <w:szCs w:val="16"/>
        </w:rPr>
        <w:t xml:space="preserve"> </w:t>
      </w:r>
      <w:r w:rsidRPr="008E46FB">
        <w:rPr>
          <w:rFonts w:ascii="Times New Roman" w:hAnsi="Times New Roman" w:cs="Times New Roman"/>
          <w:szCs w:val="16"/>
        </w:rPr>
        <w:t>multipolarisées.</w:t>
      </w:r>
    </w:p>
    <w:p w:rsidR="005D0BA7" w:rsidRPr="008E46FB" w:rsidRDefault="005D0BA7" w:rsidP="005D0BA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Cs w:val="16"/>
        </w:rPr>
      </w:pPr>
      <w:r w:rsidRPr="008E46FB">
        <w:rPr>
          <w:rFonts w:ascii="Times New Roman" w:hAnsi="Times New Roman" w:cs="Times New Roman"/>
          <w:szCs w:val="16"/>
        </w:rPr>
        <w:t>On emploie indifféremment dans ce texte</w:t>
      </w:r>
      <w:r>
        <w:rPr>
          <w:rFonts w:ascii="Times New Roman" w:hAnsi="Times New Roman" w:cs="Times New Roman"/>
          <w:szCs w:val="16"/>
        </w:rPr>
        <w:t xml:space="preserve"> </w:t>
      </w:r>
      <w:r w:rsidRPr="008E46FB">
        <w:rPr>
          <w:rFonts w:ascii="Times New Roman" w:hAnsi="Times New Roman" w:cs="Times New Roman"/>
          <w:szCs w:val="16"/>
        </w:rPr>
        <w:t xml:space="preserve">les mots </w:t>
      </w:r>
      <w:r w:rsidRPr="008E46FB">
        <w:rPr>
          <w:rFonts w:ascii="‡Pˆø¥" w:hAnsi="‡Pˆø¥" w:cs="‡Pˆø¥"/>
          <w:szCs w:val="16"/>
        </w:rPr>
        <w:t xml:space="preserve">ville </w:t>
      </w:r>
      <w:r w:rsidRPr="008E46FB">
        <w:rPr>
          <w:rFonts w:ascii="Times New Roman" w:hAnsi="Times New Roman" w:cs="Times New Roman"/>
          <w:szCs w:val="16"/>
        </w:rPr>
        <w:t xml:space="preserve">et </w:t>
      </w:r>
      <w:r w:rsidRPr="008E46FB">
        <w:rPr>
          <w:rFonts w:ascii="‡Pˆø¥" w:hAnsi="‡Pˆø¥" w:cs="‡Pˆø¥"/>
          <w:szCs w:val="16"/>
        </w:rPr>
        <w:t>unité urbaine</w:t>
      </w:r>
      <w:r w:rsidRPr="008E46FB">
        <w:rPr>
          <w:rFonts w:ascii="Times New Roman" w:hAnsi="Times New Roman" w:cs="Times New Roman"/>
          <w:szCs w:val="16"/>
        </w:rPr>
        <w:t>.</w:t>
      </w:r>
    </w:p>
    <w:p w:rsidR="0012060C" w:rsidRPr="008F45FB" w:rsidRDefault="0012060C" w:rsidP="00FC0BBF">
      <w:pPr>
        <w:pStyle w:val="Default"/>
        <w:rPr>
          <w:sz w:val="20"/>
        </w:rPr>
      </w:pPr>
    </w:p>
    <w:p w:rsidR="00EB5CB6" w:rsidRDefault="0012060C" w:rsidP="00415EFC">
      <w:pPr>
        <w:pStyle w:val="Default"/>
        <w:jc w:val="center"/>
      </w:pPr>
      <w:r>
        <w:rPr>
          <w:noProof/>
          <w:lang w:eastAsia="fr-FR"/>
        </w:rPr>
        <w:drawing>
          <wp:inline distT="0" distB="0" distL="0" distR="0">
            <wp:extent cx="6664633" cy="8843724"/>
            <wp:effectExtent l="25400" t="0" r="0" b="0"/>
            <wp:docPr id="2" name="Image 2" descr=":ESPE-IUFM:UE12_UE22_EC2_M1MEEF:DossierBanlieueVille:CarteZonageAiresUrbaines2010_Ins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PE-IUFM:UE12_UE22_EC2_M1MEEF:DossierBanlieueVille:CarteZonageAiresUrbaines2010_Insee.jpg"/>
                    <pic:cNvPicPr>
                      <a:picLocks noChangeAspect="1" noChangeArrowheads="1"/>
                    </pic:cNvPicPr>
                  </pic:nvPicPr>
                  <pic:blipFill>
                    <a:blip r:embed="rId11"/>
                    <a:srcRect/>
                    <a:stretch>
                      <a:fillRect/>
                    </a:stretch>
                  </pic:blipFill>
                  <pic:spPr bwMode="auto">
                    <a:xfrm>
                      <a:off x="0" y="0"/>
                      <a:ext cx="6673586" cy="8855604"/>
                    </a:xfrm>
                    <a:prstGeom prst="rect">
                      <a:avLst/>
                    </a:prstGeom>
                    <a:noFill/>
                    <a:ln w="9525">
                      <a:noFill/>
                      <a:miter lim="800000"/>
                      <a:headEnd/>
                      <a:tailEnd/>
                    </a:ln>
                  </pic:spPr>
                </pic:pic>
              </a:graphicData>
            </a:graphic>
          </wp:inline>
        </w:drawing>
      </w:r>
    </w:p>
    <w:sectPr w:rsidR="00EB5CB6" w:rsidSect="00A362A5">
      <w:footerReference w:type="even" r:id="rId12"/>
      <w:footerReference w:type="default" r:id="rId13"/>
      <w:pgSz w:w="11900" w:h="16840"/>
      <w:pgMar w:top="737" w:right="624" w:bottom="737" w:left="624" w:header="397" w:footer="39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Pˆø¥">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894" w:rsidRDefault="002450FA" w:rsidP="003F59B1">
    <w:pPr>
      <w:pStyle w:val="Pieddepage"/>
      <w:framePr w:wrap="around" w:vAnchor="text" w:hAnchor="margin" w:xAlign="center" w:y="1"/>
      <w:rPr>
        <w:rStyle w:val="Numrodepage"/>
      </w:rPr>
    </w:pPr>
    <w:r>
      <w:rPr>
        <w:rStyle w:val="Numrodepage"/>
      </w:rPr>
      <w:fldChar w:fldCharType="begin"/>
    </w:r>
    <w:r w:rsidR="005A4894">
      <w:rPr>
        <w:rStyle w:val="Numrodepage"/>
      </w:rPr>
      <w:instrText xml:space="preserve">PAGE  </w:instrText>
    </w:r>
    <w:r>
      <w:rPr>
        <w:rStyle w:val="Numrodepage"/>
      </w:rPr>
      <w:fldChar w:fldCharType="end"/>
    </w:r>
  </w:p>
  <w:p w:rsidR="005A4894" w:rsidRDefault="005A4894">
    <w:pPr>
      <w:pStyle w:val="Pieddepage"/>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894" w:rsidRDefault="002450FA" w:rsidP="003F59B1">
    <w:pPr>
      <w:pStyle w:val="Pieddepage"/>
      <w:framePr w:wrap="around" w:vAnchor="text" w:hAnchor="margin" w:xAlign="center" w:y="1"/>
      <w:rPr>
        <w:rStyle w:val="Numrodepage"/>
      </w:rPr>
    </w:pPr>
    <w:r>
      <w:rPr>
        <w:rStyle w:val="Numrodepage"/>
      </w:rPr>
      <w:fldChar w:fldCharType="begin"/>
    </w:r>
    <w:r w:rsidR="005A4894">
      <w:rPr>
        <w:rStyle w:val="Numrodepage"/>
      </w:rPr>
      <w:instrText xml:space="preserve">PAGE  </w:instrText>
    </w:r>
    <w:r>
      <w:rPr>
        <w:rStyle w:val="Numrodepage"/>
      </w:rPr>
      <w:fldChar w:fldCharType="separate"/>
    </w:r>
    <w:r w:rsidR="00DE3EF5">
      <w:rPr>
        <w:rStyle w:val="Numrodepage"/>
        <w:noProof/>
      </w:rPr>
      <w:t>1</w:t>
    </w:r>
    <w:r>
      <w:rPr>
        <w:rStyle w:val="Numrodepage"/>
      </w:rPr>
      <w:fldChar w:fldCharType="end"/>
    </w:r>
  </w:p>
  <w:p w:rsidR="005A4894" w:rsidRDefault="005A4894">
    <w:pPr>
      <w:pStyle w:val="Pieddepage"/>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3641F8"/>
    <w:multiLevelType w:val="hybridMultilevel"/>
    <w:tmpl w:val="AA343E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B5CB6"/>
    <w:rsid w:val="000141F8"/>
    <w:rsid w:val="00016E5D"/>
    <w:rsid w:val="0003794B"/>
    <w:rsid w:val="00062FDF"/>
    <w:rsid w:val="000E36E8"/>
    <w:rsid w:val="0012060C"/>
    <w:rsid w:val="002450FA"/>
    <w:rsid w:val="0033604D"/>
    <w:rsid w:val="00344817"/>
    <w:rsid w:val="00350DC0"/>
    <w:rsid w:val="003C07BB"/>
    <w:rsid w:val="003E338E"/>
    <w:rsid w:val="003F59B1"/>
    <w:rsid w:val="00415EFC"/>
    <w:rsid w:val="004C2503"/>
    <w:rsid w:val="005A4894"/>
    <w:rsid w:val="005D0BA7"/>
    <w:rsid w:val="0061420B"/>
    <w:rsid w:val="006C20E6"/>
    <w:rsid w:val="00777F8A"/>
    <w:rsid w:val="007A12FD"/>
    <w:rsid w:val="00801565"/>
    <w:rsid w:val="00833A98"/>
    <w:rsid w:val="00864BF9"/>
    <w:rsid w:val="008F3869"/>
    <w:rsid w:val="008F45FB"/>
    <w:rsid w:val="00963DC9"/>
    <w:rsid w:val="00A362A5"/>
    <w:rsid w:val="00A904D1"/>
    <w:rsid w:val="00A91EA5"/>
    <w:rsid w:val="00A97E57"/>
    <w:rsid w:val="00BB44EF"/>
    <w:rsid w:val="00BE222B"/>
    <w:rsid w:val="00CE22AD"/>
    <w:rsid w:val="00D361A3"/>
    <w:rsid w:val="00D54234"/>
    <w:rsid w:val="00D74801"/>
    <w:rsid w:val="00DE3EF5"/>
    <w:rsid w:val="00DF5059"/>
    <w:rsid w:val="00E42459"/>
    <w:rsid w:val="00EB5CB6"/>
    <w:rsid w:val="00F17FFD"/>
    <w:rsid w:val="00FC0BBF"/>
  </w:rsids>
  <m:mathPr>
    <m:mathFont m:val="Wingdings 2"/>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276"/>
  <w:style w:type="paragraph" w:default="1" w:styleId="Normal">
    <w:name w:val="Normal"/>
    <w:qFormat/>
    <w:rsid w:val="00FE754A"/>
    <w:rPr>
      <w:lang w:val="fr-FR"/>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customStyle="1" w:styleId="Default">
    <w:name w:val="Default"/>
    <w:rsid w:val="00EB5CB6"/>
    <w:pPr>
      <w:widowControl w:val="0"/>
      <w:autoSpaceDE w:val="0"/>
      <w:autoSpaceDN w:val="0"/>
      <w:adjustRightInd w:val="0"/>
    </w:pPr>
    <w:rPr>
      <w:rFonts w:ascii="Times New Roman" w:hAnsi="Times New Roman" w:cs="Times New Roman"/>
      <w:color w:val="000000"/>
      <w:lang w:val="fr-FR"/>
    </w:rPr>
  </w:style>
  <w:style w:type="character" w:styleId="Lienhypertexte">
    <w:name w:val="Hyperlink"/>
    <w:basedOn w:val="Policepardfaut"/>
    <w:uiPriority w:val="99"/>
    <w:semiHidden/>
    <w:unhideWhenUsed/>
    <w:rsid w:val="00062FDF"/>
    <w:rPr>
      <w:color w:val="0000FF" w:themeColor="hyperlink"/>
      <w:u w:val="single"/>
    </w:rPr>
  </w:style>
  <w:style w:type="paragraph" w:styleId="En-tte">
    <w:name w:val="header"/>
    <w:basedOn w:val="Normal"/>
    <w:link w:val="En-tteCar"/>
    <w:uiPriority w:val="99"/>
    <w:semiHidden/>
    <w:unhideWhenUsed/>
    <w:rsid w:val="008F45FB"/>
    <w:pPr>
      <w:tabs>
        <w:tab w:val="center" w:pos="4703"/>
        <w:tab w:val="right" w:pos="9406"/>
      </w:tabs>
    </w:pPr>
  </w:style>
  <w:style w:type="character" w:customStyle="1" w:styleId="En-tteCar">
    <w:name w:val="En-tête Car"/>
    <w:basedOn w:val="Policepardfaut"/>
    <w:link w:val="En-tte"/>
    <w:uiPriority w:val="99"/>
    <w:semiHidden/>
    <w:rsid w:val="008F45FB"/>
    <w:rPr>
      <w:lang w:val="fr-FR"/>
    </w:rPr>
  </w:style>
  <w:style w:type="paragraph" w:styleId="Pieddepage">
    <w:name w:val="footer"/>
    <w:basedOn w:val="Normal"/>
    <w:link w:val="PieddepageCar"/>
    <w:uiPriority w:val="99"/>
    <w:semiHidden/>
    <w:unhideWhenUsed/>
    <w:rsid w:val="008F45FB"/>
    <w:pPr>
      <w:tabs>
        <w:tab w:val="center" w:pos="4703"/>
        <w:tab w:val="right" w:pos="9406"/>
      </w:tabs>
    </w:pPr>
  </w:style>
  <w:style w:type="character" w:customStyle="1" w:styleId="PieddepageCar">
    <w:name w:val="Pied de page Car"/>
    <w:basedOn w:val="Policepardfaut"/>
    <w:link w:val="Pieddepage"/>
    <w:uiPriority w:val="99"/>
    <w:semiHidden/>
    <w:rsid w:val="008F45FB"/>
    <w:rPr>
      <w:lang w:val="fr-FR"/>
    </w:rPr>
  </w:style>
  <w:style w:type="character" w:styleId="Numrodepage">
    <w:name w:val="page number"/>
    <w:basedOn w:val="Policepardfaut"/>
    <w:uiPriority w:val="99"/>
    <w:semiHidden/>
    <w:unhideWhenUsed/>
    <w:rsid w:val="008F45FB"/>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crdp-strasbourg.fr/data/albums/geo_strasbourg_banlieues/index.php?img=11&amp;parent=29" TargetMode="Externa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yperlink" Target="http://geoconfluences.ens-lyon.fr/doc/territ/FranceMut/FranceMutScient3.ht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665</Words>
  <Characters>3793</Characters>
  <Application>Microsoft Macintosh Word</Application>
  <DocSecurity>0</DocSecurity>
  <Lines>31</Lines>
  <Paragraphs>7</Paragraphs>
  <ScaleCrop>false</ScaleCrop>
  <Company>Iufm Orléans-Tours</Company>
  <LinksUpToDate>false</LinksUpToDate>
  <CharactersWithSpaces>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Jean-Louis LAUBRY</cp:lastModifiedBy>
  <cp:revision>17</cp:revision>
  <cp:lastPrinted>2016-02-04T16:19:00Z</cp:lastPrinted>
  <dcterms:created xsi:type="dcterms:W3CDTF">2016-02-04T16:07:00Z</dcterms:created>
  <dcterms:modified xsi:type="dcterms:W3CDTF">2016-09-26T15:23:00Z</dcterms:modified>
</cp:coreProperties>
</file>