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word/footer2.xml" ContentType="application/vnd.openxmlformats-officedocument.wordprocessingml.footer+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415" w:rsidRPr="005B6260" w:rsidRDefault="0076459F" w:rsidP="00DE3415">
      <w:pPr>
        <w:pBdr>
          <w:top w:val="single" w:sz="4" w:space="1" w:color="auto"/>
          <w:left w:val="single" w:sz="4" w:space="4" w:color="auto"/>
          <w:bottom w:val="single" w:sz="4" w:space="1" w:color="auto"/>
          <w:right w:val="single" w:sz="4" w:space="4" w:color="auto"/>
        </w:pBdr>
        <w:spacing w:line="240" w:lineRule="exact"/>
        <w:jc w:val="center"/>
        <w:rPr>
          <w:rFonts w:ascii="Times New Roman" w:hAnsi="Times New Roman"/>
          <w:b/>
        </w:rPr>
      </w:pPr>
      <w:r>
        <w:rPr>
          <w:rFonts w:ascii="Times New Roman" w:hAnsi="Times New Roman"/>
          <w:b/>
        </w:rPr>
        <w:t>TD 5</w:t>
      </w:r>
      <w:r w:rsidR="00DE3415" w:rsidRPr="005B6260">
        <w:rPr>
          <w:rFonts w:ascii="Times New Roman" w:hAnsi="Times New Roman"/>
          <w:b/>
        </w:rPr>
        <w:t xml:space="preserve">– </w:t>
      </w:r>
      <w:r w:rsidR="00DE3415">
        <w:rPr>
          <w:rFonts w:ascii="Times New Roman" w:hAnsi="Times New Roman"/>
          <w:b/>
        </w:rPr>
        <w:t>LE TEMPS DES ROIS : la construction de l’Etat royal au Moyen Age (Louis IX)</w:t>
      </w:r>
    </w:p>
    <w:p w:rsidR="00DE3415" w:rsidRDefault="00DE3415"/>
    <w:p w:rsidR="00DE3415" w:rsidRPr="003960DF" w:rsidRDefault="00DE3415" w:rsidP="00DE3415">
      <w:pPr>
        <w:rPr>
          <w:rFonts w:ascii="Times New Roman" w:hAnsi="Times New Roman"/>
          <w:b/>
          <w:u w:val="single"/>
        </w:rPr>
      </w:pPr>
      <w:r w:rsidRPr="003960DF">
        <w:rPr>
          <w:rFonts w:ascii="Times New Roman" w:hAnsi="Times New Roman"/>
          <w:b/>
          <w:u w:val="single"/>
        </w:rPr>
        <w:t>Le programme de 2008</w:t>
      </w:r>
    </w:p>
    <w:p w:rsidR="00DE3415" w:rsidRPr="009C5965" w:rsidRDefault="00DE3415" w:rsidP="00DE3415">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60" w:line="280" w:lineRule="exact"/>
        <w:jc w:val="both"/>
        <w:rPr>
          <w:rFonts w:cs="Verdana"/>
          <w:szCs w:val="22"/>
          <w:u w:val="single"/>
          <w:lang w:bidi="fr-FR"/>
        </w:rPr>
      </w:pPr>
      <w:r w:rsidRPr="009C5965">
        <w:rPr>
          <w:rFonts w:cs="Verdana-Bold"/>
          <w:b/>
          <w:bCs/>
          <w:szCs w:val="22"/>
          <w:u w:val="single"/>
          <w:lang w:bidi="fr-FR"/>
        </w:rPr>
        <w:t>Le Moyen Âge</w:t>
      </w:r>
      <w:r w:rsidRPr="009C5965">
        <w:rPr>
          <w:rFonts w:cs="Verdana"/>
          <w:szCs w:val="22"/>
          <w:u w:val="single"/>
          <w:lang w:bidi="fr-FR"/>
        </w:rPr>
        <w:t xml:space="preserve">  </w:t>
      </w:r>
    </w:p>
    <w:p w:rsidR="00DE3415" w:rsidRPr="009C5965" w:rsidRDefault="00DE3415" w:rsidP="00DE3415">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60" w:line="280" w:lineRule="exact"/>
        <w:jc w:val="both"/>
        <w:rPr>
          <w:rFonts w:cs="Verdana"/>
          <w:szCs w:val="22"/>
          <w:lang w:bidi="fr-FR"/>
        </w:rPr>
      </w:pPr>
      <w:r w:rsidRPr="009C5965">
        <w:rPr>
          <w:rFonts w:cs="Verdana"/>
          <w:szCs w:val="22"/>
          <w:lang w:bidi="fr-FR"/>
        </w:rPr>
        <w:t xml:space="preserve">Après les invasions, </w:t>
      </w:r>
      <w:r w:rsidRPr="00176FA6">
        <w:rPr>
          <w:rFonts w:cs="Verdana"/>
          <w:b/>
          <w:color w:val="0000FF"/>
          <w:szCs w:val="22"/>
          <w:lang w:bidi="fr-FR"/>
        </w:rPr>
        <w:t>la naissance et le développement du royaume de France</w:t>
      </w:r>
      <w:r w:rsidRPr="009C5965">
        <w:rPr>
          <w:rFonts w:cs="Verdana"/>
          <w:szCs w:val="22"/>
          <w:lang w:bidi="fr-FR"/>
        </w:rPr>
        <w:t>.  Les relations entre seigneurs et paysans, le rôle de l’Église. Conflits et échanges en Méditerranée : les Croisades, la découverte d’une autre civilisation, l’Islam. </w:t>
      </w:r>
      <w:r w:rsidRPr="00A47F0D">
        <w:rPr>
          <w:rFonts w:cs="Verdana"/>
          <w:b/>
          <w:szCs w:val="22"/>
          <w:lang w:bidi="fr-FR"/>
        </w:rPr>
        <w:t>La guerre de Cent Ans. </w:t>
      </w:r>
    </w:p>
    <w:p w:rsidR="00DE3415" w:rsidRPr="00A47F0D" w:rsidRDefault="00DE3415" w:rsidP="00DE3415">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60" w:line="280" w:lineRule="exact"/>
        <w:jc w:val="both"/>
        <w:rPr>
          <w:rFonts w:cs="Verdana"/>
          <w:b/>
          <w:szCs w:val="22"/>
          <w:lang w:bidi="fr-FR"/>
        </w:rPr>
      </w:pPr>
      <w:r w:rsidRPr="00A47F0D">
        <w:rPr>
          <w:rFonts w:cs="Verdana-Italic"/>
          <w:b/>
          <w:i/>
          <w:iCs/>
          <w:szCs w:val="22"/>
          <w:lang w:bidi="fr-FR"/>
        </w:rPr>
        <w:t xml:space="preserve">496 : baptême de Clovis ; 800 : couronnement de Charlemagne ; 987 : Hugues Capet, roi de France ; </w:t>
      </w:r>
      <w:r w:rsidRPr="00176FA6">
        <w:rPr>
          <w:rFonts w:cs="Verdana-Italic"/>
          <w:b/>
          <w:i/>
          <w:iCs/>
          <w:color w:val="0000FF"/>
          <w:szCs w:val="22"/>
          <w:lang w:bidi="fr-FR"/>
        </w:rPr>
        <w:t>Saint Louis</w:t>
      </w:r>
      <w:r w:rsidRPr="00A47F0D">
        <w:rPr>
          <w:rFonts w:cs="Verdana-Italic"/>
          <w:b/>
          <w:i/>
          <w:iCs/>
          <w:szCs w:val="22"/>
          <w:lang w:bidi="fr-FR"/>
        </w:rPr>
        <w:t xml:space="preserve"> ; Jeanne d’Arc.</w:t>
      </w:r>
      <w:r w:rsidRPr="00A47F0D">
        <w:rPr>
          <w:rFonts w:cs="Verdana"/>
          <w:b/>
          <w:szCs w:val="22"/>
          <w:lang w:bidi="fr-FR"/>
        </w:rPr>
        <w:t xml:space="preserve">  </w:t>
      </w:r>
    </w:p>
    <w:p w:rsidR="00DE3415" w:rsidRDefault="00DE3415" w:rsidP="00E502AE">
      <w:pPr>
        <w:spacing w:before="60" w:after="60" w:line="280" w:lineRule="exact"/>
        <w:rPr>
          <w:rFonts w:ascii="Times New Roman" w:hAnsi="Times New Roman"/>
          <w:b/>
          <w:u w:val="single"/>
        </w:rPr>
      </w:pPr>
      <w:r>
        <w:rPr>
          <w:rFonts w:ascii="Times New Roman" w:hAnsi="Times New Roman"/>
          <w:b/>
          <w:u w:val="single"/>
        </w:rPr>
        <w:t>Le programme de cycle 3 C applicable à la rentrée 2016</w:t>
      </w:r>
    </w:p>
    <w:tbl>
      <w:tblPr>
        <w:tblW w:w="5000" w:type="pct"/>
        <w:tblLayout w:type="fixed"/>
        <w:tblCellMar>
          <w:left w:w="3" w:type="dxa"/>
          <w:right w:w="55" w:type="dxa"/>
        </w:tblCellMar>
        <w:tblLook w:val="0000"/>
      </w:tblPr>
      <w:tblGrid>
        <w:gridCol w:w="3123"/>
        <w:gridCol w:w="7133"/>
      </w:tblGrid>
      <w:tr w:rsidR="00DE3415" w:rsidRPr="003522AA">
        <w:tc>
          <w:tcPr>
            <w:tcW w:w="9690" w:type="dxa"/>
            <w:gridSpan w:val="2"/>
            <w:tcBorders>
              <w:top w:val="single" w:sz="2" w:space="0" w:color="000080"/>
              <w:left w:val="single" w:sz="2" w:space="0" w:color="000080"/>
              <w:bottom w:val="single" w:sz="2" w:space="0" w:color="000080"/>
              <w:right w:val="single" w:sz="2" w:space="0" w:color="000080"/>
            </w:tcBorders>
            <w:shd w:val="clear" w:color="auto" w:fill="DAEEF3"/>
          </w:tcPr>
          <w:p w:rsidR="00DE3415" w:rsidRPr="003522AA" w:rsidRDefault="00DE3415" w:rsidP="00DE3415">
            <w:pPr>
              <w:pStyle w:val="Corpsdetexte"/>
              <w:spacing w:after="0" w:line="240" w:lineRule="auto"/>
              <w:jc w:val="center"/>
              <w:rPr>
                <w:rFonts w:cs="Calibri"/>
                <w:b/>
                <w:szCs w:val="20"/>
              </w:rPr>
            </w:pPr>
            <w:r w:rsidRPr="003522AA">
              <w:rPr>
                <w:rFonts w:cs="Calibri"/>
                <w:b/>
                <w:szCs w:val="20"/>
              </w:rPr>
              <w:t>Classe de CM1</w:t>
            </w:r>
          </w:p>
        </w:tc>
      </w:tr>
      <w:tr w:rsidR="00DE3415" w:rsidRPr="003522AA">
        <w:tc>
          <w:tcPr>
            <w:tcW w:w="2951" w:type="dxa"/>
            <w:tcBorders>
              <w:top w:val="single" w:sz="2" w:space="0" w:color="000080"/>
              <w:left w:val="single" w:sz="2" w:space="0" w:color="000080"/>
              <w:bottom w:val="single" w:sz="2" w:space="0" w:color="000080"/>
            </w:tcBorders>
            <w:shd w:val="clear" w:color="auto" w:fill="DAEEF3"/>
          </w:tcPr>
          <w:p w:rsidR="00DE3415" w:rsidRPr="003522AA" w:rsidRDefault="00DE3415" w:rsidP="00DE3415">
            <w:pPr>
              <w:rPr>
                <w:rFonts w:ascii="Times New Roman" w:hAnsi="Times New Roman" w:cs="Calibri"/>
                <w:b/>
                <w:szCs w:val="20"/>
              </w:rPr>
            </w:pPr>
            <w:r w:rsidRPr="003522AA">
              <w:rPr>
                <w:rFonts w:ascii="Times New Roman" w:hAnsi="Times New Roman" w:cs="Calibri"/>
                <w:b/>
                <w:szCs w:val="20"/>
              </w:rPr>
              <w:t>Repères annuels de programmation</w:t>
            </w:r>
          </w:p>
        </w:tc>
        <w:tc>
          <w:tcPr>
            <w:tcW w:w="6739" w:type="dxa"/>
            <w:tcBorders>
              <w:top w:val="single" w:sz="2" w:space="0" w:color="000080"/>
              <w:left w:val="single" w:sz="2" w:space="0" w:color="000080"/>
              <w:bottom w:val="single" w:sz="2" w:space="0" w:color="000080"/>
              <w:right w:val="single" w:sz="2" w:space="0" w:color="000080"/>
            </w:tcBorders>
            <w:shd w:val="clear" w:color="auto" w:fill="DAEEF3"/>
          </w:tcPr>
          <w:p w:rsidR="00DE3415" w:rsidRPr="003522AA" w:rsidRDefault="00DE3415" w:rsidP="00DE3415">
            <w:pPr>
              <w:pStyle w:val="Corpsdetexte"/>
              <w:spacing w:after="0" w:line="240" w:lineRule="auto"/>
              <w:jc w:val="both"/>
              <w:rPr>
                <w:rFonts w:cs="Calibri"/>
                <w:b/>
                <w:szCs w:val="20"/>
              </w:rPr>
            </w:pPr>
            <w:r w:rsidRPr="003522AA">
              <w:rPr>
                <w:rFonts w:cs="Calibri"/>
                <w:b/>
                <w:szCs w:val="20"/>
              </w:rPr>
              <w:t>Démarches et contenus d’enseignement</w:t>
            </w:r>
          </w:p>
        </w:tc>
      </w:tr>
      <w:tr w:rsidR="00DE3415" w:rsidRPr="003522AA">
        <w:tc>
          <w:tcPr>
            <w:tcW w:w="2951" w:type="dxa"/>
            <w:tcBorders>
              <w:top w:val="single" w:sz="2" w:space="0" w:color="000080"/>
              <w:left w:val="single" w:sz="2" w:space="0" w:color="000080"/>
              <w:bottom w:val="single" w:sz="2" w:space="0" w:color="000080"/>
            </w:tcBorders>
            <w:shd w:val="clear" w:color="auto" w:fill="FFFFFF"/>
          </w:tcPr>
          <w:p w:rsidR="00DE3415" w:rsidRPr="003522AA" w:rsidRDefault="00DE3415" w:rsidP="00DE3415">
            <w:pPr>
              <w:jc w:val="center"/>
              <w:rPr>
                <w:rFonts w:ascii="Times New Roman" w:hAnsi="Times New Roman" w:cs="Calibri"/>
                <w:b/>
                <w:szCs w:val="20"/>
              </w:rPr>
            </w:pPr>
          </w:p>
          <w:p w:rsidR="00DE3415" w:rsidRPr="003522AA" w:rsidRDefault="00DE3415" w:rsidP="00DE3415">
            <w:pPr>
              <w:jc w:val="center"/>
              <w:rPr>
                <w:rFonts w:ascii="Times New Roman" w:hAnsi="Times New Roman" w:cs="Calibri"/>
                <w:b/>
                <w:szCs w:val="20"/>
              </w:rPr>
            </w:pPr>
            <w:r w:rsidRPr="003522AA">
              <w:rPr>
                <w:rFonts w:ascii="Times New Roman" w:hAnsi="Times New Roman" w:cs="Calibri"/>
                <w:b/>
                <w:szCs w:val="20"/>
              </w:rPr>
              <w:t>Thème 2</w:t>
            </w:r>
          </w:p>
          <w:p w:rsidR="00DE3415" w:rsidRPr="003522AA" w:rsidRDefault="00DE3415" w:rsidP="00DE3415">
            <w:pPr>
              <w:jc w:val="center"/>
              <w:rPr>
                <w:rFonts w:ascii="Times New Roman" w:hAnsi="Times New Roman" w:cs="Calibri"/>
                <w:szCs w:val="20"/>
              </w:rPr>
            </w:pPr>
            <w:r w:rsidRPr="003522AA">
              <w:rPr>
                <w:rFonts w:ascii="Times New Roman" w:hAnsi="Times New Roman" w:cs="Calibri"/>
                <w:b/>
                <w:szCs w:val="20"/>
              </w:rPr>
              <w:t xml:space="preserve">Le temps des rois </w:t>
            </w:r>
          </w:p>
          <w:p w:rsidR="00DE3415" w:rsidRPr="003522AA" w:rsidRDefault="00DE3415" w:rsidP="00DE3415">
            <w:pPr>
              <w:pStyle w:val="Corpsdetexte"/>
              <w:spacing w:after="0" w:line="240" w:lineRule="auto"/>
              <w:jc w:val="center"/>
              <w:rPr>
                <w:rFonts w:cs="Calibri"/>
                <w:szCs w:val="20"/>
              </w:rPr>
            </w:pPr>
          </w:p>
          <w:p w:rsidR="00DE3415" w:rsidRPr="00176FA6" w:rsidRDefault="00DE3415" w:rsidP="00DE3415">
            <w:pPr>
              <w:pStyle w:val="Corpsdetexte"/>
              <w:numPr>
                <w:ilvl w:val="0"/>
                <w:numId w:val="1"/>
              </w:numPr>
              <w:tabs>
                <w:tab w:val="left" w:pos="12656"/>
              </w:tabs>
              <w:spacing w:after="0" w:line="240" w:lineRule="auto"/>
              <w:ind w:left="0" w:firstLine="0"/>
              <w:rPr>
                <w:rFonts w:cs="Calibri"/>
                <w:b/>
                <w:color w:val="0000FF"/>
                <w:szCs w:val="20"/>
              </w:rPr>
            </w:pPr>
            <w:r w:rsidRPr="00176FA6">
              <w:rPr>
                <w:rFonts w:cs="Calibri"/>
                <w:b/>
                <w:color w:val="0000FF"/>
                <w:szCs w:val="20"/>
              </w:rPr>
              <w:t>Louis IX, le « roi chrétien » au XIII</w:t>
            </w:r>
            <w:r w:rsidRPr="00176FA6">
              <w:rPr>
                <w:rFonts w:cs="Calibri"/>
                <w:b/>
                <w:color w:val="0000FF"/>
                <w:szCs w:val="20"/>
                <w:vertAlign w:val="superscript"/>
              </w:rPr>
              <w:t>e</w:t>
            </w:r>
            <w:r w:rsidRPr="00176FA6">
              <w:rPr>
                <w:rFonts w:cs="Calibri"/>
                <w:b/>
                <w:color w:val="0000FF"/>
                <w:szCs w:val="20"/>
              </w:rPr>
              <w:t xml:space="preserve"> siècle.</w:t>
            </w:r>
          </w:p>
          <w:p w:rsidR="00DE3415" w:rsidRPr="00B72A6D" w:rsidRDefault="00DE3415" w:rsidP="00DE3415">
            <w:pPr>
              <w:pStyle w:val="Corpsdetexte"/>
              <w:tabs>
                <w:tab w:val="left" w:pos="12656"/>
              </w:tabs>
              <w:spacing w:after="0" w:line="240" w:lineRule="auto"/>
              <w:rPr>
                <w:rFonts w:cs="Calibri"/>
                <w:b/>
                <w:szCs w:val="20"/>
              </w:rPr>
            </w:pPr>
          </w:p>
          <w:p w:rsidR="00DE3415" w:rsidRDefault="00DE3415" w:rsidP="00DE3415">
            <w:pPr>
              <w:pStyle w:val="Corpsdetexte"/>
              <w:numPr>
                <w:ilvl w:val="0"/>
                <w:numId w:val="1"/>
              </w:numPr>
              <w:tabs>
                <w:tab w:val="left" w:pos="12656"/>
              </w:tabs>
              <w:spacing w:after="0" w:line="240" w:lineRule="auto"/>
              <w:ind w:left="0" w:firstLine="0"/>
              <w:rPr>
                <w:rFonts w:cs="Calibri"/>
                <w:szCs w:val="20"/>
              </w:rPr>
            </w:pPr>
            <w:r w:rsidRPr="003522AA">
              <w:rPr>
                <w:rFonts w:cs="Calibri"/>
                <w:szCs w:val="20"/>
              </w:rPr>
              <w:t>François Ier, un protecteur des Arts et des Lettres à la Renaissance.</w:t>
            </w:r>
          </w:p>
          <w:p w:rsidR="00DE3415" w:rsidRPr="00B72A6D" w:rsidRDefault="00DE3415" w:rsidP="00DE3415">
            <w:pPr>
              <w:pStyle w:val="Corpsdetexte"/>
              <w:tabs>
                <w:tab w:val="left" w:pos="12656"/>
              </w:tabs>
              <w:spacing w:after="0" w:line="240" w:lineRule="auto"/>
              <w:rPr>
                <w:rFonts w:cs="Calibri"/>
                <w:szCs w:val="20"/>
              </w:rPr>
            </w:pPr>
          </w:p>
          <w:p w:rsidR="00DE3415" w:rsidRDefault="00DE3415" w:rsidP="00DE3415">
            <w:pPr>
              <w:pStyle w:val="Corpsdetexte"/>
              <w:numPr>
                <w:ilvl w:val="0"/>
                <w:numId w:val="1"/>
              </w:numPr>
              <w:tabs>
                <w:tab w:val="left" w:pos="12656"/>
              </w:tabs>
              <w:spacing w:after="0" w:line="240" w:lineRule="auto"/>
              <w:ind w:left="0" w:firstLine="0"/>
              <w:rPr>
                <w:rFonts w:cs="Calibri"/>
                <w:szCs w:val="20"/>
              </w:rPr>
            </w:pPr>
            <w:r w:rsidRPr="003522AA">
              <w:rPr>
                <w:rFonts w:cs="Calibri"/>
                <w:szCs w:val="20"/>
              </w:rPr>
              <w:t>Henri IV et l’édit de Nantes.</w:t>
            </w:r>
          </w:p>
          <w:p w:rsidR="00DE3415" w:rsidRPr="003522AA" w:rsidRDefault="00DE3415" w:rsidP="00DE3415">
            <w:pPr>
              <w:pStyle w:val="Corpsdetexte"/>
              <w:tabs>
                <w:tab w:val="left" w:pos="12656"/>
              </w:tabs>
              <w:spacing w:after="0" w:line="240" w:lineRule="auto"/>
              <w:rPr>
                <w:rFonts w:cs="Calibri"/>
                <w:szCs w:val="20"/>
              </w:rPr>
            </w:pPr>
          </w:p>
          <w:p w:rsidR="00DE3415" w:rsidRPr="003522AA" w:rsidRDefault="00DE3415" w:rsidP="00DE3415">
            <w:pPr>
              <w:pStyle w:val="Corpsdetexte"/>
              <w:numPr>
                <w:ilvl w:val="0"/>
                <w:numId w:val="1"/>
              </w:numPr>
              <w:tabs>
                <w:tab w:val="left" w:pos="12656"/>
              </w:tabs>
              <w:spacing w:after="0" w:line="240" w:lineRule="auto"/>
              <w:ind w:left="0" w:firstLine="0"/>
              <w:rPr>
                <w:rFonts w:cs="Calibri"/>
                <w:color w:val="000000"/>
                <w:szCs w:val="20"/>
              </w:rPr>
            </w:pPr>
            <w:r w:rsidRPr="003522AA">
              <w:rPr>
                <w:rFonts w:cs="Calibri"/>
                <w:szCs w:val="20"/>
              </w:rPr>
              <w:t>Louis XIV, le roi Soleil à Versailles.</w:t>
            </w:r>
          </w:p>
          <w:p w:rsidR="00DE3415" w:rsidRPr="003522AA" w:rsidRDefault="00DE3415" w:rsidP="00DE3415">
            <w:pPr>
              <w:jc w:val="center"/>
              <w:rPr>
                <w:rFonts w:ascii="Times New Roman" w:hAnsi="Times New Roman" w:cs="Calibri"/>
                <w:b/>
                <w:szCs w:val="20"/>
              </w:rPr>
            </w:pPr>
          </w:p>
        </w:tc>
        <w:tc>
          <w:tcPr>
            <w:tcW w:w="6739" w:type="dxa"/>
            <w:tcBorders>
              <w:top w:val="single" w:sz="2" w:space="0" w:color="000080"/>
              <w:left w:val="single" w:sz="2" w:space="0" w:color="000080"/>
              <w:bottom w:val="single" w:sz="2" w:space="0" w:color="000080"/>
              <w:right w:val="single" w:sz="2" w:space="0" w:color="000080"/>
            </w:tcBorders>
            <w:shd w:val="clear" w:color="auto" w:fill="FFFFFF"/>
          </w:tcPr>
          <w:p w:rsidR="00DE3415" w:rsidRPr="003522AA" w:rsidRDefault="00DE3415" w:rsidP="00DE3415">
            <w:pPr>
              <w:jc w:val="both"/>
              <w:rPr>
                <w:rFonts w:ascii="Times New Roman" w:eastAsia="Times New Roman" w:hAnsi="Times New Roman" w:cs="Calibri"/>
                <w:szCs w:val="20"/>
                <w:lang w:eastAsia="fr-FR"/>
              </w:rPr>
            </w:pPr>
            <w:r w:rsidRPr="003522AA">
              <w:rPr>
                <w:rFonts w:ascii="Times New Roman" w:eastAsia="Times New Roman" w:hAnsi="Times New Roman" w:cs="Calibri"/>
                <w:szCs w:val="20"/>
                <w:lang w:eastAsia="fr-FR"/>
              </w:rPr>
              <w:t xml:space="preserve">Comme l’objectif du cycle 3 est de construire quelques premiers grands repères de l’histoire de France, </w:t>
            </w:r>
            <w:r w:rsidRPr="00176FA6">
              <w:rPr>
                <w:rFonts w:ascii="Times New Roman" w:eastAsia="Times New Roman" w:hAnsi="Times New Roman" w:cs="Calibri"/>
                <w:b/>
                <w:color w:val="0000FF"/>
                <w:szCs w:val="20"/>
                <w:lang w:eastAsia="fr-FR"/>
              </w:rPr>
              <w:t>l’étude de la monarchie capétienne se centre sur le pouvoir royal, ses permanences et sur la construction territoriale du royaume de France</w:t>
            </w:r>
            <w:r w:rsidRPr="003522AA">
              <w:rPr>
                <w:rFonts w:ascii="Times New Roman" w:eastAsia="Times New Roman" w:hAnsi="Times New Roman" w:cs="Calibri"/>
                <w:szCs w:val="20"/>
                <w:lang w:eastAsia="fr-FR"/>
              </w:rPr>
              <w:t>, y compris via des jeux d’alliance, dont la mention permet de présenter aux élèves quelque</w:t>
            </w:r>
            <w:r w:rsidR="00B46685">
              <w:rPr>
                <w:rFonts w:ascii="Times New Roman" w:eastAsia="Times New Roman" w:hAnsi="Times New Roman" w:cs="Calibri"/>
                <w:szCs w:val="20"/>
                <w:lang w:eastAsia="fr-FR"/>
              </w:rPr>
              <w:t xml:space="preserve">s figures féminines importantes </w:t>
            </w:r>
            <w:r w:rsidRPr="003522AA">
              <w:rPr>
                <w:rFonts w:ascii="Times New Roman" w:eastAsia="Times New Roman" w:hAnsi="Times New Roman" w:cs="Calibri"/>
                <w:szCs w:val="20"/>
                <w:lang w:eastAsia="fr-FR"/>
              </w:rPr>
              <w:t xml:space="preserve">: Aliénor d’Aquitaine, Anne de Bretagne, Catherine de Médicis. </w:t>
            </w:r>
            <w:r w:rsidRPr="00B72A6D">
              <w:rPr>
                <w:rFonts w:ascii="Times New Roman" w:eastAsia="Times New Roman" w:hAnsi="Times New Roman" w:cs="Calibri"/>
                <w:b/>
                <w:szCs w:val="20"/>
                <w:lang w:eastAsia="fr-FR"/>
              </w:rPr>
              <w:t>Les élèves découvrent ainsi des éléments essentiels de la société féodale et du patrimoine français et sont amenés à s’interroger sur les liens du Royaume de France avec d’autres acteurs et d’autres espaces</w:t>
            </w:r>
            <w:r w:rsidRPr="003522AA">
              <w:rPr>
                <w:rFonts w:ascii="Times New Roman" w:eastAsia="Times New Roman" w:hAnsi="Times New Roman" w:cs="Calibri"/>
                <w:szCs w:val="20"/>
                <w:lang w:eastAsia="fr-FR"/>
              </w:rPr>
              <w:t xml:space="preserve">. On inscrit dans le déroulé de ce thème une présentation de la formation du premier empire colonial français, porté par le pouvoir royal, et dont le peuplement repose notamment sur le déplacement d’Africains réduits en esclavage. </w:t>
            </w:r>
            <w:r w:rsidRPr="00B72A6D">
              <w:rPr>
                <w:rFonts w:ascii="Times New Roman" w:eastAsia="Times New Roman" w:hAnsi="Times New Roman" w:cs="Calibri"/>
                <w:b/>
                <w:szCs w:val="20"/>
                <w:lang w:eastAsia="fr-FR"/>
              </w:rPr>
              <w:t xml:space="preserve">Les figures royales étudiées permettent de présenter aux élèves </w:t>
            </w:r>
            <w:r w:rsidRPr="00176FA6">
              <w:rPr>
                <w:rFonts w:ascii="Times New Roman" w:eastAsia="Times New Roman" w:hAnsi="Times New Roman" w:cs="Calibri"/>
                <w:b/>
                <w:color w:val="0000FF"/>
                <w:szCs w:val="20"/>
                <w:lang w:eastAsia="fr-FR"/>
              </w:rPr>
              <w:t>quelques traits majeurs de l’histoire politique, mais aussi des questions économiques et sociales et celles liées aux violences</w:t>
            </w:r>
            <w:r w:rsidRPr="00B72A6D">
              <w:rPr>
                <w:rFonts w:ascii="Times New Roman" w:eastAsia="Times New Roman" w:hAnsi="Times New Roman" w:cs="Calibri"/>
                <w:b/>
                <w:szCs w:val="20"/>
                <w:lang w:eastAsia="fr-FR"/>
              </w:rPr>
              <w:t xml:space="preserve"> telles que les croisades</w:t>
            </w:r>
            <w:r w:rsidRPr="003522AA">
              <w:rPr>
                <w:rFonts w:ascii="Times New Roman" w:eastAsia="Times New Roman" w:hAnsi="Times New Roman" w:cs="Calibri"/>
                <w:szCs w:val="20"/>
                <w:lang w:eastAsia="fr-FR"/>
              </w:rPr>
              <w:t>, les guerres de religion et le régicide.</w:t>
            </w:r>
          </w:p>
        </w:tc>
      </w:tr>
    </w:tbl>
    <w:p w:rsidR="00DE3415" w:rsidRPr="005B6260" w:rsidRDefault="00DE3415" w:rsidP="00DE3415">
      <w:pPr>
        <w:jc w:val="center"/>
        <w:rPr>
          <w:rFonts w:ascii="Times New Roman" w:hAnsi="Times New Roman"/>
          <w:u w:val="single"/>
        </w:rPr>
      </w:pPr>
    </w:p>
    <w:p w:rsidR="00DE3415" w:rsidRDefault="00DE3415" w:rsidP="00DE3415">
      <w:pPr>
        <w:spacing w:line="240" w:lineRule="exact"/>
        <w:rPr>
          <w:rFonts w:ascii="Times New Roman" w:hAnsi="Times New Roman"/>
          <w:b/>
          <w:u w:val="single"/>
        </w:rPr>
      </w:pPr>
      <w:r w:rsidRPr="00411890">
        <w:rPr>
          <w:rFonts w:ascii="Times New Roman" w:hAnsi="Times New Roman"/>
          <w:b/>
          <w:u w:val="single"/>
        </w:rPr>
        <w:t>Ressources d’accompagnement (extraits)</w:t>
      </w:r>
    </w:p>
    <w:p w:rsidR="00DE3415" w:rsidRDefault="00DE3415" w:rsidP="00DE3415">
      <w:pPr>
        <w:jc w:val="center"/>
      </w:pPr>
      <w:r>
        <w:rPr>
          <w:noProof/>
          <w:lang w:val="fr-FR" w:eastAsia="fr-FR"/>
        </w:rPr>
        <w:drawing>
          <wp:inline distT="0" distB="0" distL="0" distR="0">
            <wp:extent cx="5934150" cy="1911985"/>
            <wp:effectExtent l="25400" t="0" r="9450" b="0"/>
            <wp:docPr id="2" name="Image 2" descr=":ESPE-IUFM:UE12_UE22_EC2_M1MEEF:UE12EC2_TD7_Histoire_MoyenAgeLouisIX:RessoucesAccompagnementTempsdesR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PE-IUFM:UE12_UE22_EC2_M1MEEF:UE12EC2_TD7_Histoire_MoyenAgeLouisIX:RessoucesAccompagnementTempsdesRois1.jpg"/>
                    <pic:cNvPicPr>
                      <a:picLocks noChangeAspect="1" noChangeArrowheads="1"/>
                    </pic:cNvPicPr>
                  </pic:nvPicPr>
                  <pic:blipFill>
                    <a:blip r:embed="rId7"/>
                    <a:srcRect/>
                    <a:stretch>
                      <a:fillRect/>
                    </a:stretch>
                  </pic:blipFill>
                  <pic:spPr bwMode="auto">
                    <a:xfrm>
                      <a:off x="0" y="0"/>
                      <a:ext cx="5976827" cy="1925736"/>
                    </a:xfrm>
                    <a:prstGeom prst="rect">
                      <a:avLst/>
                    </a:prstGeom>
                    <a:noFill/>
                    <a:ln w="9525">
                      <a:noFill/>
                      <a:miter lim="800000"/>
                      <a:headEnd/>
                      <a:tailEnd/>
                    </a:ln>
                  </pic:spPr>
                </pic:pic>
              </a:graphicData>
            </a:graphic>
          </wp:inline>
        </w:drawing>
      </w:r>
    </w:p>
    <w:p w:rsidR="00DE3415" w:rsidRDefault="00DE3415" w:rsidP="00DE3415">
      <w:r>
        <w:t>Place dans la scolarité</w:t>
      </w:r>
    </w:p>
    <w:p w:rsidR="00DE3415" w:rsidRDefault="00DE3415" w:rsidP="00DE3415">
      <w:pPr>
        <w:jc w:val="center"/>
      </w:pPr>
      <w:r w:rsidRPr="00DE3415">
        <w:rPr>
          <w:noProof/>
          <w:lang w:val="fr-FR" w:eastAsia="fr-FR"/>
        </w:rPr>
        <w:drawing>
          <wp:inline distT="0" distB="0" distL="0" distR="0">
            <wp:extent cx="5302885" cy="1656500"/>
            <wp:effectExtent l="25400" t="0" r="5715" b="0"/>
            <wp:docPr id="6" name="Image 3" descr=":ESPE-IUFM:UE12_UE22_EC2_M1MEEF:UE12EC2_TD7_Histoire_MoyenAgeLouisIX:RessourcesAccompagnementTempsdesRo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E-IUFM:UE12_UE22_EC2_M1MEEF:UE12EC2_TD7_Histoire_MoyenAgeLouisIX:RessourcesAccompagnementTempsdesRois2.jpg"/>
                    <pic:cNvPicPr>
                      <a:picLocks noChangeAspect="1" noChangeArrowheads="1"/>
                    </pic:cNvPicPr>
                  </pic:nvPicPr>
                  <pic:blipFill>
                    <a:blip r:embed="rId8"/>
                    <a:srcRect/>
                    <a:stretch>
                      <a:fillRect/>
                    </a:stretch>
                  </pic:blipFill>
                  <pic:spPr bwMode="auto">
                    <a:xfrm>
                      <a:off x="0" y="0"/>
                      <a:ext cx="5305065" cy="1657181"/>
                    </a:xfrm>
                    <a:prstGeom prst="rect">
                      <a:avLst/>
                    </a:prstGeom>
                    <a:noFill/>
                    <a:ln w="9525">
                      <a:noFill/>
                      <a:miter lim="800000"/>
                      <a:headEnd/>
                      <a:tailEnd/>
                    </a:ln>
                  </pic:spPr>
                </pic:pic>
              </a:graphicData>
            </a:graphic>
          </wp:inline>
        </w:drawing>
      </w:r>
    </w:p>
    <w:p w:rsidR="00DE3415" w:rsidRDefault="00DE3415" w:rsidP="00DE3415">
      <w:r>
        <w:t>Points forts du thème pour l’enseignant</w:t>
      </w:r>
    </w:p>
    <w:p w:rsidR="00DE3415" w:rsidRDefault="00E502AE" w:rsidP="00DE3415">
      <w:pPr>
        <w:jc w:val="center"/>
      </w:pPr>
      <w:r>
        <w:rPr>
          <w:noProof/>
          <w:lang w:val="fr-FR" w:eastAsia="fr-FR"/>
        </w:rPr>
        <w:drawing>
          <wp:inline distT="0" distB="0" distL="0" distR="0">
            <wp:extent cx="4915690" cy="3016885"/>
            <wp:effectExtent l="25400" t="0" r="11910" b="0"/>
            <wp:docPr id="7" name="Image 6" descr=":ESPE-IUFM:UE12_UE22_EC2_M1MEEF:UE12EC2_TD7_Histoire_MoyenAgeLouisIX:RessourcesAccompagnementTempsdesRois3LouisIXRed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PE-IUFM:UE12_UE22_EC2_M1MEEF:UE12EC2_TD7_Histoire_MoyenAgeLouisIX:RessourcesAccompagnementTempsdesRois3LouisIXReduc.jpg"/>
                    <pic:cNvPicPr>
                      <a:picLocks noChangeAspect="1" noChangeArrowheads="1"/>
                    </pic:cNvPicPr>
                  </pic:nvPicPr>
                  <pic:blipFill>
                    <a:blip r:embed="rId9"/>
                    <a:srcRect/>
                    <a:stretch>
                      <a:fillRect/>
                    </a:stretch>
                  </pic:blipFill>
                  <pic:spPr bwMode="auto">
                    <a:xfrm>
                      <a:off x="0" y="0"/>
                      <a:ext cx="4919198" cy="3019038"/>
                    </a:xfrm>
                    <a:prstGeom prst="rect">
                      <a:avLst/>
                    </a:prstGeom>
                    <a:noFill/>
                    <a:ln w="9525">
                      <a:noFill/>
                      <a:miter lim="800000"/>
                      <a:headEnd/>
                      <a:tailEnd/>
                    </a:ln>
                  </pic:spPr>
                </pic:pic>
              </a:graphicData>
            </a:graphic>
          </wp:inline>
        </w:drawing>
      </w:r>
    </w:p>
    <w:p w:rsidR="00DE3415" w:rsidRDefault="00DE3415" w:rsidP="00DE3415">
      <w:r>
        <w:t>Mise en oeuvre du thème dans la classe</w:t>
      </w:r>
    </w:p>
    <w:p w:rsidR="0028299E" w:rsidRDefault="00E502AE" w:rsidP="00DE3415">
      <w:pPr>
        <w:jc w:val="center"/>
      </w:pPr>
      <w:r>
        <w:rPr>
          <w:noProof/>
          <w:lang w:val="fr-FR" w:eastAsia="fr-FR"/>
        </w:rPr>
        <w:drawing>
          <wp:inline distT="0" distB="0" distL="0" distR="0">
            <wp:extent cx="5074285" cy="2268504"/>
            <wp:effectExtent l="25400" t="0" r="5715" b="0"/>
            <wp:docPr id="8" name="Image 7" descr=":ESPE-IUFM:UE12_UE22_EC2_M1MEEF:UE12EC2_TD7_Histoire_MoyenAgeLouisIX:RessourcesAccompagnementTempsdesRois7LouisIXRed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PE-IUFM:UE12_UE22_EC2_M1MEEF:UE12EC2_TD7_Histoire_MoyenAgeLouisIX:RessourcesAccompagnementTempsdesRois7LouisIXReduc.jpg"/>
                    <pic:cNvPicPr>
                      <a:picLocks noChangeAspect="1" noChangeArrowheads="1"/>
                    </pic:cNvPicPr>
                  </pic:nvPicPr>
                  <pic:blipFill>
                    <a:blip r:embed="rId10"/>
                    <a:srcRect/>
                    <a:stretch>
                      <a:fillRect/>
                    </a:stretch>
                  </pic:blipFill>
                  <pic:spPr bwMode="auto">
                    <a:xfrm>
                      <a:off x="0" y="0"/>
                      <a:ext cx="5074285" cy="2268504"/>
                    </a:xfrm>
                    <a:prstGeom prst="rect">
                      <a:avLst/>
                    </a:prstGeom>
                    <a:noFill/>
                    <a:ln w="9525">
                      <a:noFill/>
                      <a:miter lim="800000"/>
                      <a:headEnd/>
                      <a:tailEnd/>
                    </a:ln>
                  </pic:spPr>
                </pic:pic>
              </a:graphicData>
            </a:graphic>
          </wp:inline>
        </w:drawing>
      </w:r>
    </w:p>
    <w:p w:rsidR="00E502AE" w:rsidRPr="00BD026F" w:rsidRDefault="00E502AE" w:rsidP="00E502AE">
      <w:pPr>
        <w:pStyle w:val="NormalWeb"/>
        <w:spacing w:beforeLines="0" w:line="300" w:lineRule="exact"/>
        <w:jc w:val="both"/>
        <w:rPr>
          <w:rFonts w:ascii="Times New Roman" w:hAnsi="Times New Roman"/>
          <w:b/>
          <w:sz w:val="24"/>
        </w:rPr>
      </w:pPr>
      <w:r w:rsidRPr="00BD026F">
        <w:rPr>
          <w:rFonts w:ascii="Times New Roman" w:hAnsi="Times New Roman"/>
          <w:b/>
          <w:sz w:val="24"/>
        </w:rPr>
        <w:t>A] Examen du chapitre d’un manuel : Histoire, CM, Collection Magellan, Hatier, 2016.</w:t>
      </w:r>
    </w:p>
    <w:p w:rsidR="00AA7448" w:rsidRDefault="00AA7448" w:rsidP="00E502AE">
      <w:pPr>
        <w:pStyle w:val="NormalWeb"/>
        <w:spacing w:beforeLines="0" w:line="300" w:lineRule="exact"/>
        <w:jc w:val="both"/>
        <w:rPr>
          <w:rFonts w:ascii="Times New Roman" w:hAnsi="Times New Roman"/>
          <w:b/>
          <w:sz w:val="24"/>
        </w:rPr>
      </w:pPr>
    </w:p>
    <w:p w:rsidR="00E502AE" w:rsidRPr="00BD026F" w:rsidRDefault="00E502AE" w:rsidP="00E502AE">
      <w:pPr>
        <w:pStyle w:val="NormalWeb"/>
        <w:spacing w:beforeLines="0" w:line="300" w:lineRule="exact"/>
        <w:jc w:val="both"/>
        <w:rPr>
          <w:rFonts w:ascii="Times New Roman" w:hAnsi="Times New Roman"/>
          <w:b/>
          <w:sz w:val="24"/>
        </w:rPr>
      </w:pPr>
      <w:r w:rsidRPr="00BD026F">
        <w:rPr>
          <w:rFonts w:ascii="Times New Roman" w:hAnsi="Times New Roman"/>
          <w:b/>
          <w:sz w:val="24"/>
        </w:rPr>
        <w:t>B] Mise au point sur le Moyen Age</w:t>
      </w:r>
    </w:p>
    <w:p w:rsidR="00E502AE" w:rsidRPr="00004EA2" w:rsidRDefault="00BD026F" w:rsidP="00E502AE">
      <w:pPr>
        <w:pStyle w:val="NormalWeb"/>
        <w:spacing w:beforeLines="0" w:line="300" w:lineRule="exact"/>
        <w:jc w:val="both"/>
        <w:rPr>
          <w:rFonts w:ascii="Times New Roman" w:hAnsi="Times New Roman"/>
          <w:sz w:val="24"/>
        </w:rPr>
      </w:pPr>
      <w:r>
        <w:rPr>
          <w:rFonts w:ascii="Times New Roman" w:hAnsi="Times New Roman"/>
          <w:sz w:val="24"/>
        </w:rPr>
        <w:tab/>
      </w:r>
      <w:r w:rsidR="00E502AE" w:rsidRPr="00004EA2">
        <w:rPr>
          <w:rFonts w:ascii="Times New Roman" w:hAnsi="Times New Roman"/>
          <w:sz w:val="24"/>
        </w:rPr>
        <w:t xml:space="preserve">a) </w:t>
      </w:r>
      <w:r w:rsidR="00E502AE">
        <w:rPr>
          <w:rFonts w:ascii="Times New Roman" w:hAnsi="Times New Roman"/>
          <w:sz w:val="24"/>
          <w:u w:val="single"/>
        </w:rPr>
        <w:t>La société au Moyen-Age</w:t>
      </w:r>
    </w:p>
    <w:p w:rsidR="00E502AE"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les trois “ordres”</w:t>
      </w:r>
    </w:p>
    <w:p w:rsidR="00E502AE"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“ceux qui prient” : le clergé</w:t>
      </w:r>
    </w:p>
    <w:p w:rsidR="00E502AE"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“ceux qui combattent : seigneurs et chevaliers</w:t>
      </w:r>
    </w:p>
    <w:p w:rsidR="00E502AE"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xml:space="preserve">- “ceux qui travaillent” : </w:t>
      </w:r>
      <w:r w:rsidR="002E148E">
        <w:rPr>
          <w:rFonts w:ascii="Times New Roman" w:hAnsi="Times New Roman"/>
          <w:sz w:val="24"/>
        </w:rPr>
        <w:t>villageois et urbains</w:t>
      </w:r>
    </w:p>
    <w:p w:rsidR="00E502AE" w:rsidRDefault="00BD026F" w:rsidP="00E502AE">
      <w:pPr>
        <w:pStyle w:val="NormalWeb"/>
        <w:spacing w:beforeLines="0" w:line="300" w:lineRule="exact"/>
        <w:jc w:val="both"/>
        <w:rPr>
          <w:rFonts w:ascii="Times New Roman" w:hAnsi="Times New Roman"/>
          <w:sz w:val="24"/>
        </w:rPr>
      </w:pPr>
      <w:r>
        <w:rPr>
          <w:rFonts w:ascii="Times New Roman" w:hAnsi="Times New Roman"/>
          <w:sz w:val="24"/>
        </w:rPr>
        <w:tab/>
      </w:r>
      <w:r w:rsidR="00E502AE">
        <w:rPr>
          <w:rFonts w:ascii="Times New Roman" w:hAnsi="Times New Roman"/>
          <w:sz w:val="24"/>
        </w:rPr>
        <w:t xml:space="preserve">b) </w:t>
      </w:r>
      <w:r w:rsidR="00E502AE" w:rsidRPr="00004EA2">
        <w:rPr>
          <w:rFonts w:ascii="Times New Roman" w:hAnsi="Times New Roman"/>
          <w:sz w:val="24"/>
          <w:u w:val="single"/>
        </w:rPr>
        <w:t>Le</w:t>
      </w:r>
      <w:r w:rsidR="009D79C0">
        <w:rPr>
          <w:rFonts w:ascii="Times New Roman" w:hAnsi="Times New Roman"/>
          <w:sz w:val="24"/>
          <w:u w:val="single"/>
        </w:rPr>
        <w:t xml:space="preserve">s Capétiens directs à la “conquête” de leur royaume </w:t>
      </w:r>
      <w:r w:rsidR="00E502AE">
        <w:rPr>
          <w:rFonts w:ascii="Times New Roman" w:hAnsi="Times New Roman"/>
          <w:sz w:val="24"/>
        </w:rPr>
        <w:t>(987-1328)</w:t>
      </w:r>
    </w:p>
    <w:p w:rsidR="00E502AE"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sidR="009D79C0">
        <w:rPr>
          <w:rFonts w:ascii="Times New Roman" w:hAnsi="Times New Roman"/>
          <w:sz w:val="24"/>
        </w:rPr>
        <w:t>- le roi “suzerain”</w:t>
      </w:r>
    </w:p>
    <w:p w:rsidR="009D79C0"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xml:space="preserve">- </w:t>
      </w:r>
      <w:r w:rsidR="009D79C0">
        <w:rPr>
          <w:rFonts w:ascii="Times New Roman" w:hAnsi="Times New Roman"/>
          <w:sz w:val="24"/>
        </w:rPr>
        <w:t>le roi “souverain”</w:t>
      </w:r>
      <w:r w:rsidR="00342BD9">
        <w:rPr>
          <w:rFonts w:ascii="Times New Roman" w:hAnsi="Times New Roman"/>
          <w:sz w:val="24"/>
        </w:rPr>
        <w:t xml:space="preserve"> </w:t>
      </w:r>
    </w:p>
    <w:p w:rsidR="00E502AE" w:rsidRDefault="009D79C0" w:rsidP="00E502AE">
      <w:pPr>
        <w:pStyle w:val="NormalWeb"/>
        <w:spacing w:beforeLines="0" w:line="300" w:lineRule="exact"/>
        <w:jc w:val="both"/>
        <w:rPr>
          <w:rFonts w:ascii="Times New Roman" w:hAnsi="Times New Roman"/>
          <w:sz w:val="24"/>
        </w:rPr>
      </w:pPr>
      <w:r>
        <w:rPr>
          <w:rFonts w:ascii="Times New Roman" w:hAnsi="Times New Roman"/>
          <w:sz w:val="24"/>
        </w:rPr>
        <w:tab/>
      </w:r>
      <w:r>
        <w:rPr>
          <w:rFonts w:ascii="Times New Roman" w:hAnsi="Times New Roman"/>
          <w:sz w:val="24"/>
        </w:rPr>
        <w:tab/>
        <w:t>- le roi “sacré”</w:t>
      </w:r>
    </w:p>
    <w:p w:rsidR="00E502AE"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Les limites du pouvoir royal (l’Eglise, les villes, les Grands)</w:t>
      </w:r>
    </w:p>
    <w:p w:rsidR="00E502AE" w:rsidRPr="00004EA2" w:rsidRDefault="0078269B" w:rsidP="00E502AE">
      <w:pPr>
        <w:pStyle w:val="NormalWeb"/>
        <w:spacing w:beforeLines="0" w:line="300" w:lineRule="exact"/>
        <w:jc w:val="both"/>
        <w:rPr>
          <w:rFonts w:ascii="Times New Roman" w:hAnsi="Times New Roman"/>
          <w:sz w:val="24"/>
        </w:rPr>
      </w:pPr>
      <w:r>
        <w:rPr>
          <w:rFonts w:ascii="Times New Roman" w:hAnsi="Times New Roman"/>
          <w:sz w:val="24"/>
        </w:rPr>
        <w:tab/>
      </w:r>
      <w:r w:rsidR="00E502AE">
        <w:rPr>
          <w:rFonts w:ascii="Times New Roman" w:hAnsi="Times New Roman"/>
          <w:sz w:val="24"/>
        </w:rPr>
        <w:t xml:space="preserve">c) </w:t>
      </w:r>
      <w:r w:rsidR="00E502AE" w:rsidRPr="00004EA2">
        <w:rPr>
          <w:rFonts w:ascii="Times New Roman" w:hAnsi="Times New Roman"/>
          <w:sz w:val="24"/>
          <w:u w:val="single"/>
        </w:rPr>
        <w:t>Le Bas Moyen Age : crise de croissance et renforcement du pouvoir royal</w:t>
      </w:r>
      <w:r w:rsidR="00E502AE">
        <w:rPr>
          <w:rFonts w:ascii="Times New Roman" w:hAnsi="Times New Roman"/>
          <w:sz w:val="24"/>
        </w:rPr>
        <w:t xml:space="preserve"> (1328-1492)</w:t>
      </w:r>
    </w:p>
    <w:p w:rsidR="00BD026F"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xml:space="preserve">- Le temps des grands malheurs </w:t>
      </w:r>
    </w:p>
    <w:p w:rsidR="00E502AE" w:rsidRDefault="00BD026F" w:rsidP="00E502AE">
      <w:pPr>
        <w:pStyle w:val="NormalWeb"/>
        <w:spacing w:beforeLines="0" w:line="300" w:lineRule="exact"/>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E502AE" w:rsidRPr="00BD026F">
        <w:rPr>
          <w:rFonts w:ascii="Times New Roman" w:hAnsi="Times New Roman"/>
          <w:sz w:val="24"/>
        </w:rPr>
        <w:t>(rupture de l’équilibre socio-économique, la Grande Peste, les révoltes)</w:t>
      </w:r>
    </w:p>
    <w:p w:rsidR="00E502AE"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La Guerre de Cent Ans (1328-1336-1453-1475)</w:t>
      </w:r>
    </w:p>
    <w:p w:rsidR="00E502AE" w:rsidRPr="009B42EA" w:rsidRDefault="00E502AE" w:rsidP="00E502AE">
      <w:pPr>
        <w:pStyle w:val="NormalWeb"/>
        <w:spacing w:beforeLines="0" w:line="300" w:lineRule="exact"/>
        <w:jc w:val="both"/>
        <w:rPr>
          <w:rFonts w:ascii="Times New Roman" w:hAnsi="Times New Roman"/>
          <w:sz w:val="24"/>
        </w:rPr>
      </w:pPr>
      <w:r>
        <w:rPr>
          <w:rFonts w:ascii="Times New Roman" w:hAnsi="Times New Roman"/>
          <w:sz w:val="24"/>
        </w:rPr>
        <w:tab/>
      </w:r>
      <w:r w:rsidR="00BD026F">
        <w:rPr>
          <w:rFonts w:ascii="Times New Roman" w:hAnsi="Times New Roman"/>
          <w:sz w:val="24"/>
        </w:rPr>
        <w:tab/>
      </w:r>
      <w:r>
        <w:rPr>
          <w:rFonts w:ascii="Times New Roman" w:hAnsi="Times New Roman"/>
          <w:sz w:val="24"/>
        </w:rPr>
        <w:t>- Vers l’Etat “moderne”</w:t>
      </w:r>
    </w:p>
    <w:p w:rsidR="00DE3415" w:rsidRPr="00F47A38" w:rsidRDefault="00BD026F" w:rsidP="00BD026F">
      <w:pPr>
        <w:spacing w:before="60"/>
        <w:jc w:val="both"/>
        <w:rPr>
          <w:rFonts w:ascii="Times New Roman" w:hAnsi="Times New Roman" w:cs="Times New Roman"/>
          <w:b/>
        </w:rPr>
      </w:pPr>
      <w:r w:rsidRPr="00F47A38">
        <w:rPr>
          <w:rFonts w:ascii="Times New Roman" w:hAnsi="Times New Roman" w:cs="Times New Roman"/>
          <w:b/>
        </w:rPr>
        <w:t xml:space="preserve">C] </w:t>
      </w:r>
      <w:r w:rsidR="00C64C10" w:rsidRPr="00F47A38">
        <w:rPr>
          <w:rFonts w:ascii="Times New Roman" w:hAnsi="Times New Roman" w:cs="Times New Roman"/>
          <w:b/>
        </w:rPr>
        <w:t>Retour vers</w:t>
      </w:r>
      <w:r w:rsidR="002417D7">
        <w:rPr>
          <w:rFonts w:ascii="Times New Roman" w:hAnsi="Times New Roman" w:cs="Times New Roman"/>
          <w:b/>
        </w:rPr>
        <w:t xml:space="preserve"> Louis IX dit Saint </w:t>
      </w:r>
      <w:bookmarkStart w:id="0" w:name="_GoBack"/>
      <w:bookmarkEnd w:id="0"/>
      <w:r w:rsidRPr="00F47A38">
        <w:rPr>
          <w:rFonts w:ascii="Times New Roman" w:hAnsi="Times New Roman" w:cs="Times New Roman"/>
          <w:b/>
        </w:rPr>
        <w:t>Louis</w:t>
      </w:r>
      <w:r w:rsidR="00C64C10" w:rsidRPr="00F47A38">
        <w:rPr>
          <w:rFonts w:ascii="Times New Roman" w:hAnsi="Times New Roman" w:cs="Times New Roman"/>
          <w:b/>
        </w:rPr>
        <w:t xml:space="preserve"> </w:t>
      </w:r>
      <w:r w:rsidR="00C64C10" w:rsidRPr="00A30C6E">
        <w:rPr>
          <w:rFonts w:ascii="Times New Roman" w:hAnsi="Times New Roman" w:cs="Times New Roman"/>
          <w:i/>
        </w:rPr>
        <w:t>à partir d’un dossier</w:t>
      </w:r>
      <w:r w:rsidR="00C64C10" w:rsidRPr="00F47A38">
        <w:rPr>
          <w:rFonts w:ascii="Times New Roman" w:hAnsi="Times New Roman" w:cs="Times New Roman"/>
          <w:b/>
        </w:rPr>
        <w:t xml:space="preserve">. </w:t>
      </w:r>
      <w:r w:rsidR="00386863">
        <w:rPr>
          <w:rFonts w:ascii="Times New Roman" w:hAnsi="Times New Roman" w:cs="Times New Roman"/>
          <w:b/>
        </w:rPr>
        <w:t>Quelle mise</w:t>
      </w:r>
      <w:r w:rsidR="00C64C10" w:rsidRPr="00F47A38">
        <w:rPr>
          <w:rFonts w:ascii="Times New Roman" w:hAnsi="Times New Roman" w:cs="Times New Roman"/>
          <w:b/>
        </w:rPr>
        <w:t xml:space="preserve"> en oeuvre d</w:t>
      </w:r>
      <w:r w:rsidR="009A11DA" w:rsidRPr="00F47A38">
        <w:rPr>
          <w:rFonts w:ascii="Times New Roman" w:hAnsi="Times New Roman" w:cs="Times New Roman"/>
          <w:b/>
        </w:rPr>
        <w:t>u sou</w:t>
      </w:r>
      <w:r w:rsidR="00303DB9" w:rsidRPr="00F47A38">
        <w:rPr>
          <w:rFonts w:ascii="Times New Roman" w:hAnsi="Times New Roman" w:cs="Times New Roman"/>
          <w:b/>
        </w:rPr>
        <w:t>s</w:t>
      </w:r>
      <w:r w:rsidR="009A11DA" w:rsidRPr="00F47A38">
        <w:rPr>
          <w:rFonts w:ascii="Times New Roman" w:hAnsi="Times New Roman" w:cs="Times New Roman"/>
          <w:b/>
        </w:rPr>
        <w:t xml:space="preserve">-thème dans une </w:t>
      </w:r>
      <w:r w:rsidR="00C64C10" w:rsidRPr="00F47A38">
        <w:rPr>
          <w:rFonts w:ascii="Times New Roman" w:hAnsi="Times New Roman" w:cs="Times New Roman"/>
          <w:b/>
        </w:rPr>
        <w:t>séquence</w:t>
      </w:r>
      <w:r w:rsidR="00386863">
        <w:rPr>
          <w:rFonts w:ascii="Times New Roman" w:hAnsi="Times New Roman" w:cs="Times New Roman"/>
          <w:b/>
        </w:rPr>
        <w:t xml:space="preserve"> ? </w:t>
      </w:r>
      <w:r w:rsidR="00386863" w:rsidRPr="00386863">
        <w:rPr>
          <w:rFonts w:ascii="Times New Roman" w:hAnsi="Times New Roman" w:cs="Times New Roman"/>
          <w:sz w:val="20"/>
        </w:rPr>
        <w:t>(Louis IX et la société au XIIIème, Louis IX : quelle action ?, Louis IX et la religion chrétienne)</w:t>
      </w:r>
    </w:p>
    <w:sectPr w:rsidR="00DE3415" w:rsidRPr="00F47A38" w:rsidSect="00DE3415">
      <w:headerReference w:type="default" r:id="rId11"/>
      <w:footerReference w:type="even" r:id="rId12"/>
      <w:footerReference w:type="default" r:id="rId13"/>
      <w:pgSz w:w="11900" w:h="16840"/>
      <w:pgMar w:top="851" w:right="851" w:bottom="851" w:left="851" w:header="454" w:footer="454"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115" w:rsidRDefault="00F47A38">
      <w:r>
        <w:separator/>
      </w:r>
    </w:p>
  </w:endnote>
  <w:endnote w:type="continuationSeparator" w:id="0">
    <w:p w:rsidR="001E0115" w:rsidRDefault="00F47A38">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Cambria">
    <w:panose1 w:val="02040503050406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imes">
    <w:panose1 w:val="020005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Verdana-Italic">
    <w:altName w:val="Verdana"/>
    <w:panose1 w:val="00000000000000000000"/>
    <w:charset w:val="4D"/>
    <w:family w:val="auto"/>
    <w:notTrueType/>
    <w:pitch w:val="default"/>
    <w:sig w:usb0="03000000"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685" w:rsidRDefault="005B0BA0" w:rsidP="00DE3415">
    <w:pPr>
      <w:pStyle w:val="Pieddepage"/>
      <w:framePr w:wrap="around" w:vAnchor="text" w:hAnchor="margin" w:xAlign="center" w:y="1"/>
      <w:rPr>
        <w:rStyle w:val="Numrodepage"/>
      </w:rPr>
    </w:pPr>
    <w:r>
      <w:rPr>
        <w:rStyle w:val="Numrodepage"/>
      </w:rPr>
      <w:fldChar w:fldCharType="begin"/>
    </w:r>
    <w:r w:rsidR="00B46685">
      <w:rPr>
        <w:rStyle w:val="Numrodepage"/>
      </w:rPr>
      <w:instrText xml:space="preserve">PAGE  </w:instrText>
    </w:r>
    <w:r>
      <w:rPr>
        <w:rStyle w:val="Numrodepage"/>
      </w:rPr>
      <w:fldChar w:fldCharType="end"/>
    </w:r>
  </w:p>
  <w:p w:rsidR="00B46685" w:rsidRDefault="00B46685">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685" w:rsidRDefault="005B0BA0" w:rsidP="00DE3415">
    <w:pPr>
      <w:pStyle w:val="Pieddepage"/>
      <w:framePr w:wrap="around" w:vAnchor="text" w:hAnchor="margin" w:xAlign="center" w:y="1"/>
      <w:rPr>
        <w:rStyle w:val="Numrodepage"/>
      </w:rPr>
    </w:pPr>
    <w:r>
      <w:rPr>
        <w:rStyle w:val="Numrodepage"/>
      </w:rPr>
      <w:fldChar w:fldCharType="begin"/>
    </w:r>
    <w:r w:rsidR="00B46685">
      <w:rPr>
        <w:rStyle w:val="Numrodepage"/>
      </w:rPr>
      <w:instrText xml:space="preserve">PAGE  </w:instrText>
    </w:r>
    <w:r>
      <w:rPr>
        <w:rStyle w:val="Numrodepage"/>
      </w:rPr>
      <w:fldChar w:fldCharType="separate"/>
    </w:r>
    <w:r w:rsidR="00A30C6E">
      <w:rPr>
        <w:rStyle w:val="Numrodepage"/>
        <w:noProof/>
      </w:rPr>
      <w:t>2</w:t>
    </w:r>
    <w:r>
      <w:rPr>
        <w:rStyle w:val="Numrodepage"/>
      </w:rPr>
      <w:fldChar w:fldCharType="end"/>
    </w:r>
  </w:p>
  <w:p w:rsidR="00B46685" w:rsidRDefault="00386863" w:rsidP="00830DE6">
    <w:pPr>
      <w:pStyle w:val="Pieddepage"/>
      <w:tabs>
        <w:tab w:val="right" w:pos="9632"/>
      </w:tabs>
    </w:pPr>
    <w:r>
      <w:t>INSPE</w:t>
    </w:r>
    <w:r w:rsidR="00B46685">
      <w:t xml:space="preserve"> Centre-Val de Loire</w:t>
    </w:r>
    <w:r w:rsidR="00B46685">
      <w:tab/>
    </w:r>
    <w:r w:rsidR="00B46685">
      <w:tab/>
      <w:t>Sites de Bourges/Châteauroux</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115" w:rsidRDefault="00F47A38">
      <w:r>
        <w:separator/>
      </w:r>
    </w:p>
  </w:footnote>
  <w:footnote w:type="continuationSeparator" w:id="0">
    <w:p w:rsidR="001E0115" w:rsidRDefault="00F47A3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685" w:rsidRPr="00830DE6" w:rsidRDefault="00B46685" w:rsidP="00DE3415">
    <w:pPr>
      <w:pStyle w:val="En-tte"/>
      <w:tabs>
        <w:tab w:val="right" w:pos="9632"/>
      </w:tabs>
    </w:pPr>
    <w:r>
      <w:t>UE12EC2</w:t>
    </w:r>
    <w:r>
      <w:tab/>
    </w:r>
    <w:r>
      <w:tab/>
      <w:t>M1-MEEF</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Mangal"/>
        <w:sz w:val="20"/>
      </w:rPr>
    </w:lvl>
    <w:lvl w:ilvl="1">
      <w:start w:val="1"/>
      <w:numFmt w:val="bullet"/>
      <w:lvlText w:val="◦"/>
      <w:lvlJc w:val="left"/>
      <w:pPr>
        <w:tabs>
          <w:tab w:val="num" w:pos="720"/>
        </w:tabs>
        <w:ind w:left="720" w:hanging="360"/>
      </w:pPr>
      <w:rPr>
        <w:rFonts w:ascii="OpenSymbol" w:hAnsi="OpenSymbol" w:cs="Mangal"/>
      </w:rPr>
    </w:lvl>
    <w:lvl w:ilvl="2">
      <w:start w:val="1"/>
      <w:numFmt w:val="bullet"/>
      <w:lvlText w:val="▪"/>
      <w:lvlJc w:val="left"/>
      <w:pPr>
        <w:tabs>
          <w:tab w:val="num" w:pos="1080"/>
        </w:tabs>
        <w:ind w:left="1080" w:hanging="360"/>
      </w:pPr>
      <w:rPr>
        <w:rFonts w:ascii="OpenSymbol" w:hAnsi="OpenSymbol" w:cs="Mangal"/>
      </w:rPr>
    </w:lvl>
    <w:lvl w:ilvl="3">
      <w:start w:val="1"/>
      <w:numFmt w:val="bullet"/>
      <w:lvlText w:val=""/>
      <w:lvlJc w:val="left"/>
      <w:pPr>
        <w:tabs>
          <w:tab w:val="num" w:pos="1440"/>
        </w:tabs>
        <w:ind w:left="1440" w:hanging="360"/>
      </w:pPr>
      <w:rPr>
        <w:rFonts w:ascii="Symbol" w:hAnsi="Symbol" w:cs="Mangal"/>
        <w:sz w:val="20"/>
      </w:rPr>
    </w:lvl>
    <w:lvl w:ilvl="4">
      <w:start w:val="1"/>
      <w:numFmt w:val="bullet"/>
      <w:lvlText w:val="◦"/>
      <w:lvlJc w:val="left"/>
      <w:pPr>
        <w:tabs>
          <w:tab w:val="num" w:pos="1800"/>
        </w:tabs>
        <w:ind w:left="1800" w:hanging="360"/>
      </w:pPr>
      <w:rPr>
        <w:rFonts w:ascii="OpenSymbol" w:hAnsi="OpenSymbol" w:cs="Mangal"/>
      </w:rPr>
    </w:lvl>
    <w:lvl w:ilvl="5">
      <w:start w:val="1"/>
      <w:numFmt w:val="bullet"/>
      <w:lvlText w:val="▪"/>
      <w:lvlJc w:val="left"/>
      <w:pPr>
        <w:tabs>
          <w:tab w:val="num" w:pos="2160"/>
        </w:tabs>
        <w:ind w:left="2160" w:hanging="360"/>
      </w:pPr>
      <w:rPr>
        <w:rFonts w:ascii="OpenSymbol" w:hAnsi="OpenSymbol" w:cs="Mangal"/>
      </w:rPr>
    </w:lvl>
    <w:lvl w:ilvl="6">
      <w:start w:val="1"/>
      <w:numFmt w:val="bullet"/>
      <w:lvlText w:val=""/>
      <w:lvlJc w:val="left"/>
      <w:pPr>
        <w:tabs>
          <w:tab w:val="num" w:pos="2520"/>
        </w:tabs>
        <w:ind w:left="2520" w:hanging="360"/>
      </w:pPr>
      <w:rPr>
        <w:rFonts w:ascii="Symbol" w:hAnsi="Symbol" w:cs="Mangal"/>
        <w:sz w:val="20"/>
      </w:rPr>
    </w:lvl>
    <w:lvl w:ilvl="7">
      <w:start w:val="1"/>
      <w:numFmt w:val="bullet"/>
      <w:lvlText w:val="◦"/>
      <w:lvlJc w:val="left"/>
      <w:pPr>
        <w:tabs>
          <w:tab w:val="num" w:pos="2880"/>
        </w:tabs>
        <w:ind w:left="2880" w:hanging="360"/>
      </w:pPr>
      <w:rPr>
        <w:rFonts w:ascii="OpenSymbol" w:hAnsi="OpenSymbol" w:cs="Mangal"/>
      </w:rPr>
    </w:lvl>
    <w:lvl w:ilvl="8">
      <w:start w:val="1"/>
      <w:numFmt w:val="bullet"/>
      <w:lvlText w:val="▪"/>
      <w:lvlJc w:val="left"/>
      <w:pPr>
        <w:tabs>
          <w:tab w:val="num" w:pos="3240"/>
        </w:tabs>
        <w:ind w:left="3240" w:hanging="360"/>
      </w:pPr>
      <w:rPr>
        <w:rFonts w:ascii="OpenSymbol" w:hAnsi="OpenSymbol" w:cs="Manga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830DE6"/>
    <w:rsid w:val="00134370"/>
    <w:rsid w:val="00176FA6"/>
    <w:rsid w:val="001E0115"/>
    <w:rsid w:val="002107A2"/>
    <w:rsid w:val="002417D7"/>
    <w:rsid w:val="0028299E"/>
    <w:rsid w:val="0029761D"/>
    <w:rsid w:val="002E148E"/>
    <w:rsid w:val="00303DB9"/>
    <w:rsid w:val="00342BD9"/>
    <w:rsid w:val="00386863"/>
    <w:rsid w:val="00512916"/>
    <w:rsid w:val="005B0BA0"/>
    <w:rsid w:val="006923CD"/>
    <w:rsid w:val="0076459F"/>
    <w:rsid w:val="0078269B"/>
    <w:rsid w:val="00821D4D"/>
    <w:rsid w:val="00830DE6"/>
    <w:rsid w:val="009A11DA"/>
    <w:rsid w:val="009D79C0"/>
    <w:rsid w:val="00A30C6E"/>
    <w:rsid w:val="00A3298F"/>
    <w:rsid w:val="00AA7448"/>
    <w:rsid w:val="00B46685"/>
    <w:rsid w:val="00BD026F"/>
    <w:rsid w:val="00C64C10"/>
    <w:rsid w:val="00D6781A"/>
    <w:rsid w:val="00DE3415"/>
    <w:rsid w:val="00E502AE"/>
    <w:rsid w:val="00F47A38"/>
  </w:rsids>
  <m:mathPr>
    <m:mathFont m:val="Impact"/>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415"/>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uiPriority w:val="99"/>
    <w:unhideWhenUsed/>
    <w:rsid w:val="00830DE6"/>
    <w:pPr>
      <w:tabs>
        <w:tab w:val="center" w:pos="4703"/>
        <w:tab w:val="right" w:pos="9406"/>
      </w:tabs>
    </w:pPr>
  </w:style>
  <w:style w:type="character" w:customStyle="1" w:styleId="En-tteCar">
    <w:name w:val="En-tête Car"/>
    <w:basedOn w:val="Policepardfaut"/>
    <w:link w:val="En-tte"/>
    <w:uiPriority w:val="99"/>
    <w:rsid w:val="00830DE6"/>
    <w:rPr>
      <w:lang w:val="fr-FR"/>
    </w:rPr>
  </w:style>
  <w:style w:type="paragraph" w:styleId="Pieddepage">
    <w:name w:val="footer"/>
    <w:basedOn w:val="Normal"/>
    <w:link w:val="PieddepageCar"/>
    <w:uiPriority w:val="99"/>
    <w:unhideWhenUsed/>
    <w:rsid w:val="00830DE6"/>
    <w:pPr>
      <w:tabs>
        <w:tab w:val="center" w:pos="4703"/>
        <w:tab w:val="right" w:pos="9406"/>
      </w:tabs>
    </w:pPr>
  </w:style>
  <w:style w:type="character" w:customStyle="1" w:styleId="PieddepageCar">
    <w:name w:val="Pied de page Car"/>
    <w:basedOn w:val="Policepardfaut"/>
    <w:link w:val="Pieddepage"/>
    <w:uiPriority w:val="99"/>
    <w:rsid w:val="00830DE6"/>
    <w:rPr>
      <w:lang w:val="fr-FR"/>
    </w:rPr>
  </w:style>
  <w:style w:type="character" w:styleId="Numrodepage">
    <w:name w:val="page number"/>
    <w:basedOn w:val="Policepardfaut"/>
    <w:uiPriority w:val="99"/>
    <w:semiHidden/>
    <w:unhideWhenUsed/>
    <w:rsid w:val="00830DE6"/>
  </w:style>
  <w:style w:type="paragraph" w:styleId="Corpsdetexte">
    <w:name w:val="Body Text"/>
    <w:basedOn w:val="Normal"/>
    <w:link w:val="CorpsdetexteCar"/>
    <w:rsid w:val="00DE3415"/>
    <w:pPr>
      <w:widowControl w:val="0"/>
      <w:suppressAutoHyphens/>
      <w:spacing w:after="120" w:line="276" w:lineRule="auto"/>
    </w:pPr>
    <w:rPr>
      <w:rFonts w:ascii="Times New Roman" w:eastAsia="SimSun" w:hAnsi="Times New Roman" w:cs="Mangal"/>
      <w:color w:val="00000A"/>
      <w:lang w:val="fr-FR" w:eastAsia="zh-CN" w:bidi="hi-IN"/>
    </w:rPr>
  </w:style>
  <w:style w:type="character" w:customStyle="1" w:styleId="CorpsdetexteCar">
    <w:name w:val="Corps de texte Car"/>
    <w:basedOn w:val="Policepardfaut"/>
    <w:link w:val="Corpsdetexte"/>
    <w:rsid w:val="00DE3415"/>
    <w:rPr>
      <w:rFonts w:ascii="Times New Roman" w:eastAsia="SimSun" w:hAnsi="Times New Roman" w:cs="Mangal"/>
      <w:color w:val="00000A"/>
      <w:lang w:val="fr-FR" w:eastAsia="zh-CN" w:bidi="hi-IN"/>
    </w:rPr>
  </w:style>
  <w:style w:type="paragraph" w:styleId="NormalWeb">
    <w:name w:val="Normal (Web)"/>
    <w:basedOn w:val="Normal"/>
    <w:uiPriority w:val="99"/>
    <w:rsid w:val="00E502AE"/>
    <w:pPr>
      <w:spacing w:beforeLines="1"/>
    </w:pPr>
    <w:rPr>
      <w:rFonts w:ascii="Times" w:hAnsi="Times" w:cs="Times New Roman"/>
      <w:sz w:val="20"/>
      <w:szCs w:val="20"/>
      <w:lang w:eastAsia="fr-FR"/>
    </w:rPr>
  </w:style>
  <w:style w:type="paragraph" w:styleId="Textedebulles">
    <w:name w:val="Balloon Text"/>
    <w:basedOn w:val="Normal"/>
    <w:link w:val="TextedebullesCar"/>
    <w:uiPriority w:val="99"/>
    <w:semiHidden/>
    <w:unhideWhenUsed/>
    <w:rsid w:val="00342BD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42BD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455</Words>
  <Characters>2597</Characters>
  <Application>Microsoft Macintosh Word</Application>
  <DocSecurity>0</DocSecurity>
  <Lines>21</Lines>
  <Paragraphs>5</Paragraphs>
  <ScaleCrop>false</ScaleCrop>
  <Company>Iufm Orléans-Tours</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20</cp:revision>
  <dcterms:created xsi:type="dcterms:W3CDTF">2016-10-01T14:23:00Z</dcterms:created>
  <dcterms:modified xsi:type="dcterms:W3CDTF">2020-10-05T15:59:00Z</dcterms:modified>
</cp:coreProperties>
</file>