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F3BD" w14:textId="77777777" w:rsidR="0007770B" w:rsidRDefault="0007770B" w:rsidP="00D62AB2">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5"/>
          <w:szCs w:val="25"/>
        </w:rPr>
      </w:pPr>
    </w:p>
    <w:p w14:paraId="2934B34B" w14:textId="74E1B357" w:rsidR="00D62AB2"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5"/>
          <w:szCs w:val="25"/>
        </w:rPr>
      </w:pPr>
      <w:r>
        <w:rPr>
          <w:b/>
          <w:sz w:val="25"/>
          <w:szCs w:val="25"/>
        </w:rPr>
        <w:t>UNIVERSITÉ D’ORLEANS</w:t>
      </w:r>
    </w:p>
    <w:p w14:paraId="65CF1F48" w14:textId="77777777" w:rsidR="00D62AB2"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p>
    <w:p w14:paraId="55F00198" w14:textId="77777777" w:rsidR="00D62AB2"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rPr>
        <w:t>TRAVAUX DIRIGES DE</w:t>
      </w:r>
    </w:p>
    <w:p w14:paraId="737A0865" w14:textId="77777777" w:rsidR="00D62AB2"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p>
    <w:p w14:paraId="2BA10547" w14:textId="77777777" w:rsidR="00D62AB2"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jc w:val="center"/>
        <w:rPr>
          <w:b/>
          <w:sz w:val="28"/>
          <w:szCs w:val="28"/>
        </w:rPr>
      </w:pPr>
      <w:r>
        <w:rPr>
          <w:b/>
          <w:sz w:val="28"/>
          <w:szCs w:val="28"/>
        </w:rPr>
        <w:t>DROIT DES SERVICES PUBLICS</w:t>
      </w:r>
    </w:p>
    <w:p w14:paraId="5B542E90" w14:textId="77777777" w:rsidR="00D62AB2"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8"/>
          <w:szCs w:val="28"/>
        </w:rPr>
      </w:pPr>
    </w:p>
    <w:p w14:paraId="478B25E0" w14:textId="1DBAD691" w:rsidR="00D62AB2" w:rsidRPr="00E020F6" w:rsidRDefault="00D62AB2" w:rsidP="00D62AB2">
      <w:pPr>
        <w:pBdr>
          <w:top w:val="single" w:sz="8" w:space="1" w:color="000000" w:shadow="1"/>
          <w:left w:val="single" w:sz="8" w:space="0" w:color="000000" w:shadow="1"/>
          <w:bottom w:val="single" w:sz="8" w:space="1" w:color="000000" w:shadow="1"/>
          <w:right w:val="single" w:sz="8" w:space="4" w:color="000000" w:shadow="1"/>
        </w:pBdr>
        <w:spacing w:line="100" w:lineRule="atLeast"/>
        <w:rPr>
          <w:b/>
          <w:sz w:val="28"/>
          <w:szCs w:val="28"/>
        </w:rPr>
      </w:pPr>
      <w:r>
        <w:rPr>
          <w:rFonts w:eastAsia="Times New Roman"/>
          <w:b/>
          <w:sz w:val="20"/>
          <w:szCs w:val="20"/>
        </w:rPr>
        <w:t xml:space="preserve">Cours de </w:t>
      </w:r>
      <w:r>
        <w:rPr>
          <w:b/>
          <w:sz w:val="20"/>
          <w:szCs w:val="20"/>
        </w:rPr>
        <w:t xml:space="preserve">Mme Armelle </w:t>
      </w:r>
      <w:proofErr w:type="spellStart"/>
      <w:r>
        <w:rPr>
          <w:b/>
          <w:sz w:val="20"/>
          <w:szCs w:val="20"/>
        </w:rPr>
        <w:t>Treppoz</w:t>
      </w:r>
      <w:proofErr w:type="spellEnd"/>
    </w:p>
    <w:p w14:paraId="4038DADE" w14:textId="77777777" w:rsidR="00D62AB2" w:rsidRDefault="00D62AB2" w:rsidP="00D62AB2">
      <w:pPr>
        <w:spacing w:line="100" w:lineRule="atLeast"/>
        <w:rPr>
          <w:b/>
          <w:sz w:val="28"/>
          <w:szCs w:val="28"/>
        </w:rPr>
      </w:pPr>
    </w:p>
    <w:p w14:paraId="60313DFB" w14:textId="6A852F75" w:rsidR="00D62AB2" w:rsidRPr="009A3E3C" w:rsidRDefault="00D62AB2" w:rsidP="00D62AB2">
      <w:pPr>
        <w:spacing w:line="100" w:lineRule="atLeast"/>
        <w:jc w:val="center"/>
        <w:rPr>
          <w:b/>
          <w:sz w:val="28"/>
          <w:szCs w:val="28"/>
        </w:rPr>
      </w:pPr>
      <w:r>
        <w:t>Séance n° 8</w:t>
      </w:r>
    </w:p>
    <w:p w14:paraId="5C239D06" w14:textId="77777777" w:rsidR="00D62AB2" w:rsidRDefault="00D62AB2" w:rsidP="00D62AB2">
      <w:pPr>
        <w:spacing w:line="100" w:lineRule="atLeast"/>
        <w:jc w:val="center"/>
        <w:rPr>
          <w:b/>
          <w:sz w:val="28"/>
          <w:szCs w:val="28"/>
        </w:rPr>
      </w:pPr>
    </w:p>
    <w:p w14:paraId="5D4BDD06" w14:textId="77777777" w:rsidR="00D62AB2" w:rsidRDefault="00D62AB2" w:rsidP="00D62AB2">
      <w:pPr>
        <w:spacing w:line="100" w:lineRule="atLeast"/>
        <w:jc w:val="center"/>
        <w:rPr>
          <w:b/>
          <w:sz w:val="26"/>
          <w:szCs w:val="26"/>
          <w:u w:val="single"/>
        </w:rPr>
      </w:pPr>
      <w:r>
        <w:rPr>
          <w:b/>
          <w:sz w:val="26"/>
          <w:szCs w:val="26"/>
        </w:rPr>
        <w:t>Egalité et neutralité</w:t>
      </w:r>
    </w:p>
    <w:p w14:paraId="426B13F5" w14:textId="77777777" w:rsidR="00D62AB2" w:rsidRDefault="00D62AB2" w:rsidP="00D62AB2">
      <w:pPr>
        <w:spacing w:line="100" w:lineRule="atLeast"/>
        <w:rPr>
          <w:b/>
        </w:rPr>
      </w:pPr>
      <w:r>
        <w:rPr>
          <w:b/>
          <w:sz w:val="26"/>
          <w:szCs w:val="26"/>
          <w:u w:val="single"/>
        </w:rPr>
        <w:t>I) Égalité de traitement</w:t>
      </w:r>
    </w:p>
    <w:p w14:paraId="20E9839C" w14:textId="77777777" w:rsidR="00D62AB2" w:rsidRDefault="00D62AB2" w:rsidP="00D62AB2">
      <w:pPr>
        <w:spacing w:line="100" w:lineRule="atLeast"/>
        <w:rPr>
          <w:b/>
        </w:rPr>
      </w:pPr>
    </w:p>
    <w:p w14:paraId="396AB6D6" w14:textId="77777777" w:rsidR="00D62AB2" w:rsidRDefault="00D62AB2" w:rsidP="00D62AB2">
      <w:pPr>
        <w:spacing w:line="100" w:lineRule="atLeast"/>
        <w:rPr>
          <w:b/>
        </w:rPr>
      </w:pPr>
      <w:r>
        <w:rPr>
          <w:b/>
          <w:i/>
          <w:iCs/>
        </w:rPr>
        <w:t>§1) Consécration du principe et de ses déclinaisons</w:t>
      </w:r>
    </w:p>
    <w:p w14:paraId="4DF50E4D" w14:textId="77777777" w:rsidR="00D62AB2" w:rsidRDefault="00D62AB2" w:rsidP="00D62AB2">
      <w:pPr>
        <w:spacing w:line="100" w:lineRule="atLeast"/>
        <w:ind w:left="1080"/>
        <w:rPr>
          <w:b/>
        </w:rPr>
      </w:pPr>
    </w:p>
    <w:p w14:paraId="4D3282A7" w14:textId="77777777" w:rsidR="00D62AB2" w:rsidRDefault="00D62AB2" w:rsidP="00D62AB2">
      <w:pPr>
        <w:spacing w:line="100" w:lineRule="atLeast"/>
        <w:rPr>
          <w:b/>
          <w:sz w:val="21"/>
          <w:szCs w:val="21"/>
        </w:rPr>
      </w:pPr>
      <w:r>
        <w:rPr>
          <w:b/>
          <w:sz w:val="21"/>
          <w:szCs w:val="21"/>
        </w:rPr>
        <w:t xml:space="preserve">Document 1 : </w:t>
      </w:r>
      <w:r>
        <w:rPr>
          <w:sz w:val="21"/>
          <w:szCs w:val="21"/>
        </w:rPr>
        <w:t xml:space="preserve">CE, </w:t>
      </w:r>
      <w:proofErr w:type="spellStart"/>
      <w:r>
        <w:rPr>
          <w:sz w:val="21"/>
          <w:szCs w:val="21"/>
        </w:rPr>
        <w:t>Ass</w:t>
      </w:r>
      <w:proofErr w:type="spellEnd"/>
      <w:r>
        <w:rPr>
          <w:sz w:val="21"/>
          <w:szCs w:val="21"/>
        </w:rPr>
        <w:t>., 25 juin 1948, Société Journal l’Aurore</w:t>
      </w:r>
    </w:p>
    <w:p w14:paraId="25CB22FA" w14:textId="77777777" w:rsidR="00D62AB2" w:rsidRDefault="00D62AB2" w:rsidP="00D62AB2">
      <w:pPr>
        <w:spacing w:line="100" w:lineRule="atLeast"/>
        <w:rPr>
          <w:b/>
          <w:sz w:val="21"/>
          <w:szCs w:val="21"/>
        </w:rPr>
      </w:pPr>
      <w:r>
        <w:rPr>
          <w:b/>
          <w:sz w:val="21"/>
          <w:szCs w:val="21"/>
        </w:rPr>
        <w:t xml:space="preserve">Document 2 : </w:t>
      </w:r>
      <w:r>
        <w:rPr>
          <w:sz w:val="21"/>
          <w:szCs w:val="21"/>
        </w:rPr>
        <w:t>CE, Sect., 9 mars 1951, Sté des Concerts du Conservatoire</w:t>
      </w:r>
    </w:p>
    <w:p w14:paraId="7D099048" w14:textId="77777777" w:rsidR="00D62AB2" w:rsidRDefault="00D62AB2" w:rsidP="00D62AB2">
      <w:pPr>
        <w:spacing w:line="100" w:lineRule="atLeast"/>
        <w:jc w:val="both"/>
        <w:rPr>
          <w:b/>
          <w:sz w:val="21"/>
          <w:szCs w:val="21"/>
        </w:rPr>
      </w:pPr>
      <w:r>
        <w:rPr>
          <w:b/>
          <w:sz w:val="21"/>
          <w:szCs w:val="21"/>
        </w:rPr>
        <w:t>Document 3 :</w:t>
      </w:r>
      <w:r>
        <w:rPr>
          <w:sz w:val="21"/>
          <w:szCs w:val="21"/>
        </w:rPr>
        <w:t xml:space="preserve"> Cons. </w:t>
      </w:r>
      <w:proofErr w:type="spellStart"/>
      <w:proofErr w:type="gramStart"/>
      <w:r>
        <w:rPr>
          <w:sz w:val="21"/>
          <w:szCs w:val="21"/>
        </w:rPr>
        <w:t>const</w:t>
      </w:r>
      <w:proofErr w:type="spellEnd"/>
      <w:proofErr w:type="gramEnd"/>
      <w:r>
        <w:rPr>
          <w:sz w:val="21"/>
          <w:szCs w:val="21"/>
        </w:rPr>
        <w:t>., 27 juin 2001, déc. n° 2001-446 DC, Loi relative à l'interruption volontaire de grossesse et à la contraception</w:t>
      </w:r>
    </w:p>
    <w:p w14:paraId="72F11496" w14:textId="77777777" w:rsidR="00D62AB2" w:rsidRDefault="00D62AB2" w:rsidP="00D62AB2">
      <w:pPr>
        <w:spacing w:line="100" w:lineRule="atLeast"/>
        <w:jc w:val="both"/>
        <w:rPr>
          <w:b/>
          <w:sz w:val="21"/>
          <w:szCs w:val="21"/>
        </w:rPr>
      </w:pPr>
      <w:r>
        <w:rPr>
          <w:b/>
          <w:sz w:val="21"/>
          <w:szCs w:val="21"/>
        </w:rPr>
        <w:t xml:space="preserve">Document 4 : </w:t>
      </w:r>
      <w:r>
        <w:rPr>
          <w:sz w:val="21"/>
          <w:szCs w:val="21"/>
        </w:rPr>
        <w:t xml:space="preserve">CE, </w:t>
      </w:r>
      <w:proofErr w:type="spellStart"/>
      <w:r>
        <w:rPr>
          <w:sz w:val="21"/>
          <w:szCs w:val="21"/>
        </w:rPr>
        <w:t>Ass</w:t>
      </w:r>
      <w:proofErr w:type="spellEnd"/>
      <w:r>
        <w:rPr>
          <w:sz w:val="21"/>
          <w:szCs w:val="21"/>
        </w:rPr>
        <w:t>., 28 mai 1954, Barel</w:t>
      </w:r>
    </w:p>
    <w:p w14:paraId="25AFB734" w14:textId="77777777" w:rsidR="00D62AB2" w:rsidRDefault="00D62AB2" w:rsidP="00D62AB2">
      <w:pPr>
        <w:spacing w:line="100" w:lineRule="atLeast"/>
        <w:jc w:val="both"/>
      </w:pPr>
      <w:r>
        <w:rPr>
          <w:b/>
          <w:sz w:val="21"/>
          <w:szCs w:val="21"/>
        </w:rPr>
        <w:t xml:space="preserve">Document 5 : </w:t>
      </w:r>
      <w:r>
        <w:rPr>
          <w:sz w:val="21"/>
          <w:szCs w:val="21"/>
        </w:rPr>
        <w:t xml:space="preserve">CE, </w:t>
      </w:r>
      <w:proofErr w:type="spellStart"/>
      <w:r>
        <w:rPr>
          <w:sz w:val="21"/>
          <w:szCs w:val="21"/>
        </w:rPr>
        <w:t>Ass</w:t>
      </w:r>
      <w:proofErr w:type="spellEnd"/>
      <w:r>
        <w:rPr>
          <w:sz w:val="21"/>
          <w:szCs w:val="21"/>
        </w:rPr>
        <w:t xml:space="preserve">., 8 déc. 2010, Fédération syndicat généraux de l'éducation nationale et de la recherche </w:t>
      </w:r>
      <w:proofErr w:type="gramStart"/>
      <w:r>
        <w:rPr>
          <w:sz w:val="21"/>
          <w:szCs w:val="21"/>
        </w:rPr>
        <w:t>publique</w:t>
      </w:r>
      <w:proofErr w:type="gramEnd"/>
    </w:p>
    <w:p w14:paraId="61141157" w14:textId="77777777" w:rsidR="00D62AB2" w:rsidRDefault="00D62AB2" w:rsidP="00D62AB2">
      <w:pPr>
        <w:spacing w:line="100" w:lineRule="atLeast"/>
        <w:jc w:val="both"/>
      </w:pPr>
    </w:p>
    <w:p w14:paraId="59EA336F" w14:textId="77777777" w:rsidR="00D62AB2" w:rsidRDefault="00D62AB2" w:rsidP="00D62AB2">
      <w:pPr>
        <w:spacing w:line="100" w:lineRule="atLeast"/>
        <w:jc w:val="both"/>
        <w:rPr>
          <w:b/>
          <w:bCs/>
          <w:i/>
          <w:iCs/>
        </w:rPr>
      </w:pPr>
      <w:r>
        <w:rPr>
          <w:b/>
          <w:bCs/>
          <w:i/>
          <w:iCs/>
        </w:rPr>
        <w:t>§2) Différenciations légales</w:t>
      </w:r>
    </w:p>
    <w:p w14:paraId="08C41AB2" w14:textId="77777777" w:rsidR="00D62AB2" w:rsidRDefault="00D62AB2" w:rsidP="00D62AB2">
      <w:pPr>
        <w:spacing w:line="100" w:lineRule="atLeast"/>
        <w:jc w:val="both"/>
        <w:rPr>
          <w:b/>
          <w:bCs/>
          <w:i/>
          <w:iCs/>
        </w:rPr>
      </w:pPr>
    </w:p>
    <w:p w14:paraId="6640CB52" w14:textId="77777777" w:rsidR="00D62AB2" w:rsidRPr="000D43AB" w:rsidRDefault="00D62AB2" w:rsidP="000D43AB">
      <w:pPr>
        <w:pStyle w:val="Sansinterligne"/>
        <w:rPr>
          <w:b/>
          <w:sz w:val="22"/>
          <w:szCs w:val="22"/>
        </w:rPr>
      </w:pPr>
      <w:r w:rsidRPr="000D43AB">
        <w:rPr>
          <w:b/>
          <w:sz w:val="22"/>
          <w:szCs w:val="22"/>
        </w:rPr>
        <w:t>Document 6 :</w:t>
      </w:r>
      <w:r w:rsidRPr="000D43AB">
        <w:rPr>
          <w:sz w:val="22"/>
          <w:szCs w:val="22"/>
        </w:rPr>
        <w:t xml:space="preserve"> CE, Sect., 10 mai 1974, Denoyez et Chorques</w:t>
      </w:r>
    </w:p>
    <w:p w14:paraId="5EC4EC84" w14:textId="77777777" w:rsidR="00D62AB2" w:rsidRPr="000D43AB" w:rsidRDefault="00D62AB2" w:rsidP="000D43AB">
      <w:pPr>
        <w:pStyle w:val="Sansinterligne"/>
        <w:rPr>
          <w:b/>
          <w:sz w:val="22"/>
          <w:szCs w:val="22"/>
        </w:rPr>
      </w:pPr>
      <w:r w:rsidRPr="000D43AB">
        <w:rPr>
          <w:b/>
          <w:sz w:val="22"/>
          <w:szCs w:val="22"/>
        </w:rPr>
        <w:t xml:space="preserve">Document 7 : </w:t>
      </w:r>
      <w:r w:rsidRPr="000D43AB">
        <w:rPr>
          <w:sz w:val="22"/>
          <w:szCs w:val="22"/>
        </w:rPr>
        <w:t xml:space="preserve">Cons. </w:t>
      </w:r>
      <w:proofErr w:type="spellStart"/>
      <w:r w:rsidRPr="000D43AB">
        <w:rPr>
          <w:sz w:val="22"/>
          <w:szCs w:val="22"/>
        </w:rPr>
        <w:t>Const</w:t>
      </w:r>
      <w:proofErr w:type="spellEnd"/>
      <w:r w:rsidRPr="000D43AB">
        <w:rPr>
          <w:sz w:val="22"/>
          <w:szCs w:val="22"/>
        </w:rPr>
        <w:t>. 7 janvier 1988, déc. n° 87-232 DC, Loi relative Mutualisation de la caisse nationale de crédit agricole</w:t>
      </w:r>
    </w:p>
    <w:p w14:paraId="43B27B17" w14:textId="77777777" w:rsidR="00D62AB2" w:rsidRPr="000D43AB" w:rsidRDefault="00D62AB2" w:rsidP="000D43AB">
      <w:pPr>
        <w:pStyle w:val="Sansinterligne"/>
        <w:rPr>
          <w:b/>
          <w:color w:val="000000"/>
          <w:sz w:val="22"/>
          <w:szCs w:val="22"/>
        </w:rPr>
      </w:pPr>
      <w:r w:rsidRPr="000D43AB">
        <w:rPr>
          <w:b/>
          <w:sz w:val="22"/>
          <w:szCs w:val="22"/>
        </w:rPr>
        <w:t>Document 8 :</w:t>
      </w:r>
      <w:r w:rsidRPr="000D43AB">
        <w:rPr>
          <w:sz w:val="22"/>
          <w:szCs w:val="22"/>
        </w:rPr>
        <w:t xml:space="preserve"> CE, Sect., 18 déc. 2002, </w:t>
      </w:r>
      <w:proofErr w:type="spellStart"/>
      <w:r w:rsidRPr="000D43AB">
        <w:rPr>
          <w:sz w:val="22"/>
          <w:szCs w:val="22"/>
        </w:rPr>
        <w:t>Duvignières</w:t>
      </w:r>
      <w:proofErr w:type="spellEnd"/>
    </w:p>
    <w:p w14:paraId="3128F3DA" w14:textId="77777777" w:rsidR="00D62AB2" w:rsidRPr="000D43AB" w:rsidRDefault="00D62AB2" w:rsidP="000D43AB">
      <w:pPr>
        <w:pStyle w:val="Sansinterligne"/>
        <w:rPr>
          <w:b/>
          <w:color w:val="000000"/>
          <w:sz w:val="22"/>
          <w:szCs w:val="22"/>
        </w:rPr>
      </w:pPr>
      <w:r w:rsidRPr="000D43AB">
        <w:rPr>
          <w:b/>
          <w:color w:val="000000"/>
          <w:sz w:val="22"/>
          <w:szCs w:val="22"/>
        </w:rPr>
        <w:t xml:space="preserve">Document 9 : </w:t>
      </w:r>
      <w:r w:rsidRPr="000D43AB">
        <w:rPr>
          <w:color w:val="000000"/>
          <w:sz w:val="22"/>
          <w:szCs w:val="22"/>
        </w:rPr>
        <w:t>CE, Sect., 20 novembre 1964, Ville de Nanterre</w:t>
      </w:r>
    </w:p>
    <w:p w14:paraId="0B1FCB83" w14:textId="77777777" w:rsidR="00D62AB2" w:rsidRPr="000D43AB" w:rsidRDefault="00D62AB2" w:rsidP="000D43AB">
      <w:pPr>
        <w:pStyle w:val="Sansinterligne"/>
        <w:rPr>
          <w:b/>
          <w:color w:val="000000"/>
          <w:sz w:val="22"/>
          <w:szCs w:val="22"/>
        </w:rPr>
      </w:pPr>
      <w:r w:rsidRPr="000D43AB">
        <w:rPr>
          <w:b/>
          <w:color w:val="000000"/>
          <w:sz w:val="22"/>
          <w:szCs w:val="22"/>
        </w:rPr>
        <w:t xml:space="preserve">Document 10 : </w:t>
      </w:r>
      <w:r w:rsidRPr="000D43AB">
        <w:rPr>
          <w:color w:val="000000"/>
          <w:sz w:val="22"/>
          <w:szCs w:val="22"/>
        </w:rPr>
        <w:t>CE, 13 mai 1994, Commune de Dreux</w:t>
      </w:r>
    </w:p>
    <w:p w14:paraId="5DCF27D8" w14:textId="77777777" w:rsidR="00D62AB2" w:rsidRPr="000D43AB" w:rsidRDefault="00D62AB2" w:rsidP="000D43AB">
      <w:pPr>
        <w:pStyle w:val="Sansinterligne"/>
        <w:rPr>
          <w:b/>
          <w:color w:val="000000"/>
          <w:sz w:val="22"/>
          <w:szCs w:val="22"/>
        </w:rPr>
      </w:pPr>
      <w:r w:rsidRPr="000D43AB">
        <w:rPr>
          <w:b/>
          <w:color w:val="000000"/>
          <w:sz w:val="22"/>
          <w:szCs w:val="22"/>
        </w:rPr>
        <w:t xml:space="preserve">Document 11 : </w:t>
      </w:r>
      <w:r w:rsidRPr="000D43AB">
        <w:rPr>
          <w:color w:val="000000"/>
          <w:sz w:val="22"/>
          <w:szCs w:val="22"/>
        </w:rPr>
        <w:t>CE, Sect., 29 décembre 1997, Commune de Gennevilliers</w:t>
      </w:r>
    </w:p>
    <w:p w14:paraId="6F387FB4" w14:textId="77777777" w:rsidR="00D62AB2" w:rsidRPr="000D43AB" w:rsidRDefault="00D62AB2" w:rsidP="000D43AB">
      <w:pPr>
        <w:pStyle w:val="Sansinterligne"/>
        <w:rPr>
          <w:b/>
          <w:color w:val="000000"/>
          <w:sz w:val="22"/>
          <w:szCs w:val="22"/>
        </w:rPr>
      </w:pPr>
      <w:r w:rsidRPr="000D43AB">
        <w:rPr>
          <w:b/>
          <w:color w:val="000000"/>
          <w:sz w:val="22"/>
          <w:szCs w:val="22"/>
        </w:rPr>
        <w:t xml:space="preserve">Document 12 : </w:t>
      </w:r>
      <w:r w:rsidRPr="000D43AB">
        <w:rPr>
          <w:color w:val="000000"/>
          <w:sz w:val="22"/>
          <w:szCs w:val="22"/>
        </w:rPr>
        <w:t xml:space="preserve">CE, </w:t>
      </w:r>
      <w:proofErr w:type="spellStart"/>
      <w:r w:rsidRPr="000D43AB">
        <w:rPr>
          <w:color w:val="000000"/>
          <w:sz w:val="22"/>
          <w:szCs w:val="22"/>
        </w:rPr>
        <w:t>Ass</w:t>
      </w:r>
      <w:proofErr w:type="spellEnd"/>
      <w:r w:rsidRPr="000D43AB">
        <w:rPr>
          <w:color w:val="000000"/>
          <w:sz w:val="22"/>
          <w:szCs w:val="22"/>
        </w:rPr>
        <w:t>., 28 mars 1997, Société Baxter et autres</w:t>
      </w:r>
    </w:p>
    <w:p w14:paraId="65880E5B" w14:textId="55002DE5" w:rsidR="00D62AB2" w:rsidRDefault="00D62AB2" w:rsidP="000D43AB">
      <w:pPr>
        <w:pStyle w:val="Sansinterligne"/>
        <w:rPr>
          <w:color w:val="000000"/>
          <w:sz w:val="22"/>
          <w:szCs w:val="22"/>
        </w:rPr>
      </w:pPr>
      <w:r w:rsidRPr="000D43AB">
        <w:rPr>
          <w:b/>
          <w:color w:val="000000"/>
          <w:sz w:val="22"/>
          <w:szCs w:val="22"/>
        </w:rPr>
        <w:t>Document 13 :</w:t>
      </w:r>
      <w:r w:rsidRPr="000D43AB">
        <w:rPr>
          <w:color w:val="000000"/>
          <w:sz w:val="22"/>
          <w:szCs w:val="22"/>
        </w:rPr>
        <w:t xml:space="preserve"> Cons. </w:t>
      </w:r>
      <w:proofErr w:type="spellStart"/>
      <w:r w:rsidRPr="000D43AB">
        <w:rPr>
          <w:color w:val="000000"/>
          <w:sz w:val="22"/>
          <w:szCs w:val="22"/>
        </w:rPr>
        <w:t>Const</w:t>
      </w:r>
      <w:proofErr w:type="spellEnd"/>
      <w:r w:rsidRPr="000D43AB">
        <w:rPr>
          <w:color w:val="000000"/>
          <w:sz w:val="22"/>
          <w:szCs w:val="22"/>
        </w:rPr>
        <w:t>., 29 décembre 2003, déc. n° 2003-489 DC, Loi de finances pour 2004</w:t>
      </w:r>
    </w:p>
    <w:p w14:paraId="02ED9558" w14:textId="77777777" w:rsidR="000D43AB" w:rsidRPr="000D43AB" w:rsidRDefault="000D43AB" w:rsidP="000D43AB">
      <w:pPr>
        <w:pStyle w:val="Sansinterligne"/>
        <w:rPr>
          <w:b/>
          <w:u w:val="single"/>
        </w:rPr>
      </w:pPr>
    </w:p>
    <w:p w14:paraId="2F9B9D8A" w14:textId="77777777" w:rsidR="00D62AB2" w:rsidRDefault="00D62AB2" w:rsidP="00D62AB2">
      <w:pPr>
        <w:spacing w:line="100" w:lineRule="atLeast"/>
        <w:jc w:val="both"/>
        <w:rPr>
          <w:b/>
          <w:sz w:val="26"/>
          <w:szCs w:val="26"/>
          <w:u w:val="single"/>
        </w:rPr>
      </w:pPr>
      <w:r>
        <w:rPr>
          <w:b/>
          <w:sz w:val="26"/>
          <w:szCs w:val="26"/>
          <w:u w:val="single"/>
        </w:rPr>
        <w:t>II) Neutralité de l'agent</w:t>
      </w:r>
    </w:p>
    <w:p w14:paraId="7FF780DC" w14:textId="77777777" w:rsidR="00D62AB2" w:rsidRDefault="00D62AB2" w:rsidP="00D62AB2">
      <w:pPr>
        <w:spacing w:line="100" w:lineRule="atLeast"/>
        <w:jc w:val="both"/>
        <w:rPr>
          <w:b/>
          <w:sz w:val="26"/>
          <w:szCs w:val="26"/>
          <w:u w:val="single"/>
        </w:rPr>
      </w:pPr>
    </w:p>
    <w:p w14:paraId="55176DEF" w14:textId="77777777" w:rsidR="00D62AB2" w:rsidRDefault="00D62AB2" w:rsidP="00D62AB2">
      <w:pPr>
        <w:spacing w:line="100" w:lineRule="atLeast"/>
        <w:jc w:val="both"/>
        <w:rPr>
          <w:b/>
          <w:sz w:val="21"/>
          <w:szCs w:val="21"/>
        </w:rPr>
      </w:pPr>
      <w:r>
        <w:rPr>
          <w:b/>
          <w:sz w:val="21"/>
          <w:szCs w:val="21"/>
        </w:rPr>
        <w:t xml:space="preserve">Document 14 : </w:t>
      </w:r>
      <w:r>
        <w:rPr>
          <w:sz w:val="21"/>
          <w:szCs w:val="21"/>
        </w:rPr>
        <w:t xml:space="preserve">CAA Douai, 17 décembre 2015, n°14DA01109 </w:t>
      </w:r>
    </w:p>
    <w:p w14:paraId="7EE146F5" w14:textId="77777777" w:rsidR="00D62AB2" w:rsidRDefault="00D62AB2" w:rsidP="00D62AB2">
      <w:pPr>
        <w:spacing w:line="100" w:lineRule="atLeast"/>
        <w:jc w:val="both"/>
        <w:rPr>
          <w:b/>
          <w:sz w:val="21"/>
          <w:szCs w:val="21"/>
        </w:rPr>
      </w:pPr>
    </w:p>
    <w:p w14:paraId="236C1CBE" w14:textId="77777777" w:rsidR="00D62AB2" w:rsidRDefault="00D62AB2" w:rsidP="00D62AB2">
      <w:pPr>
        <w:spacing w:line="100" w:lineRule="atLeast"/>
        <w:jc w:val="both"/>
        <w:rPr>
          <w:b/>
          <w:sz w:val="21"/>
          <w:szCs w:val="21"/>
        </w:rPr>
      </w:pPr>
      <w:r>
        <w:rPr>
          <w:b/>
          <w:i/>
          <w:iCs/>
        </w:rPr>
        <w:t>§1) Neutralité religieuse et laïcité</w:t>
      </w:r>
    </w:p>
    <w:p w14:paraId="059762B1" w14:textId="77777777" w:rsidR="00D62AB2" w:rsidRDefault="00D62AB2" w:rsidP="00D62AB2">
      <w:pPr>
        <w:spacing w:line="100" w:lineRule="atLeast"/>
        <w:jc w:val="both"/>
        <w:rPr>
          <w:b/>
          <w:sz w:val="21"/>
          <w:szCs w:val="21"/>
        </w:rPr>
      </w:pPr>
    </w:p>
    <w:p w14:paraId="1BB1E696" w14:textId="77777777" w:rsidR="00D62AB2" w:rsidRDefault="00D62AB2" w:rsidP="00D62AB2">
      <w:pPr>
        <w:spacing w:line="100" w:lineRule="atLeast"/>
        <w:jc w:val="both"/>
        <w:rPr>
          <w:b/>
          <w:sz w:val="21"/>
          <w:szCs w:val="21"/>
        </w:rPr>
      </w:pPr>
      <w:r>
        <w:rPr>
          <w:b/>
          <w:sz w:val="21"/>
          <w:szCs w:val="21"/>
        </w:rPr>
        <w:t xml:space="preserve">Document 15 : </w:t>
      </w:r>
      <w:r>
        <w:rPr>
          <w:sz w:val="21"/>
          <w:szCs w:val="21"/>
        </w:rPr>
        <w:t xml:space="preserve">CE, Avis, 3 mai 2000, </w:t>
      </w:r>
      <w:proofErr w:type="spellStart"/>
      <w:r>
        <w:rPr>
          <w:sz w:val="21"/>
          <w:szCs w:val="21"/>
        </w:rPr>
        <w:t>Dlle</w:t>
      </w:r>
      <w:proofErr w:type="spellEnd"/>
      <w:r>
        <w:rPr>
          <w:sz w:val="21"/>
          <w:szCs w:val="21"/>
        </w:rPr>
        <w:t xml:space="preserve"> Marteaux</w:t>
      </w:r>
    </w:p>
    <w:p w14:paraId="12E7CA82" w14:textId="77777777" w:rsidR="00D62AB2" w:rsidRDefault="00D62AB2" w:rsidP="00D62AB2">
      <w:pPr>
        <w:spacing w:line="100" w:lineRule="atLeast"/>
        <w:jc w:val="both"/>
        <w:rPr>
          <w:b/>
          <w:color w:val="000000"/>
          <w:sz w:val="21"/>
          <w:szCs w:val="21"/>
        </w:rPr>
      </w:pPr>
      <w:r>
        <w:rPr>
          <w:b/>
          <w:sz w:val="21"/>
          <w:szCs w:val="21"/>
        </w:rPr>
        <w:t xml:space="preserve">Document 16 : </w:t>
      </w:r>
      <w:r>
        <w:rPr>
          <w:sz w:val="21"/>
          <w:szCs w:val="21"/>
        </w:rPr>
        <w:t xml:space="preserve">CEDH, 15 février 2001, </w:t>
      </w:r>
      <w:proofErr w:type="spellStart"/>
      <w:r>
        <w:rPr>
          <w:sz w:val="21"/>
          <w:szCs w:val="21"/>
        </w:rPr>
        <w:t>Dahlab</w:t>
      </w:r>
      <w:proofErr w:type="spellEnd"/>
      <w:r>
        <w:rPr>
          <w:sz w:val="21"/>
          <w:szCs w:val="21"/>
        </w:rPr>
        <w:t xml:space="preserve"> c/ Suisse</w:t>
      </w:r>
    </w:p>
    <w:p w14:paraId="615091AD" w14:textId="77777777" w:rsidR="00D62AB2" w:rsidRDefault="00D62AB2" w:rsidP="00D62AB2">
      <w:pPr>
        <w:spacing w:line="100" w:lineRule="atLeast"/>
        <w:jc w:val="both"/>
        <w:rPr>
          <w:b/>
          <w:color w:val="000000"/>
          <w:sz w:val="21"/>
          <w:szCs w:val="21"/>
        </w:rPr>
      </w:pPr>
      <w:r>
        <w:rPr>
          <w:b/>
          <w:color w:val="000000"/>
          <w:sz w:val="21"/>
          <w:szCs w:val="21"/>
        </w:rPr>
        <w:t>Document 17 :</w:t>
      </w:r>
      <w:r>
        <w:rPr>
          <w:color w:val="000000"/>
          <w:sz w:val="21"/>
          <w:szCs w:val="21"/>
        </w:rPr>
        <w:t xml:space="preserve"> CAA Versailles, 6 oct. 2011, </w:t>
      </w:r>
      <w:proofErr w:type="spellStart"/>
      <w:r>
        <w:rPr>
          <w:color w:val="000000"/>
          <w:sz w:val="21"/>
          <w:szCs w:val="21"/>
        </w:rPr>
        <w:t>Abderahim</w:t>
      </w:r>
      <w:proofErr w:type="spellEnd"/>
    </w:p>
    <w:p w14:paraId="6AF17961" w14:textId="4B9D6B84" w:rsidR="00D62AB2" w:rsidRDefault="00D62AB2" w:rsidP="00D62AB2">
      <w:pPr>
        <w:spacing w:line="100" w:lineRule="atLeast"/>
        <w:jc w:val="both"/>
        <w:rPr>
          <w:color w:val="000000"/>
          <w:sz w:val="21"/>
          <w:szCs w:val="21"/>
        </w:rPr>
      </w:pPr>
      <w:r>
        <w:rPr>
          <w:b/>
          <w:color w:val="000000"/>
          <w:sz w:val="21"/>
          <w:szCs w:val="21"/>
        </w:rPr>
        <w:t>Document 18 :</w:t>
      </w:r>
      <w:r>
        <w:rPr>
          <w:color w:val="000000"/>
          <w:sz w:val="21"/>
          <w:szCs w:val="21"/>
        </w:rPr>
        <w:t xml:space="preserve"> CEDH, 26 novembre 2015, </w:t>
      </w:r>
      <w:proofErr w:type="spellStart"/>
      <w:r>
        <w:rPr>
          <w:color w:val="000000"/>
          <w:sz w:val="21"/>
          <w:szCs w:val="21"/>
        </w:rPr>
        <w:t>Ebrahimian</w:t>
      </w:r>
      <w:proofErr w:type="spellEnd"/>
      <w:r>
        <w:rPr>
          <w:color w:val="000000"/>
          <w:sz w:val="21"/>
          <w:szCs w:val="21"/>
        </w:rPr>
        <w:t xml:space="preserve"> </w:t>
      </w:r>
      <w:proofErr w:type="spellStart"/>
      <w:r>
        <w:rPr>
          <w:color w:val="000000"/>
          <w:sz w:val="21"/>
          <w:szCs w:val="21"/>
        </w:rPr>
        <w:t>ctre</w:t>
      </w:r>
      <w:proofErr w:type="spellEnd"/>
      <w:r>
        <w:rPr>
          <w:color w:val="000000"/>
          <w:sz w:val="21"/>
          <w:szCs w:val="21"/>
        </w:rPr>
        <w:t xml:space="preserve"> France </w:t>
      </w:r>
    </w:p>
    <w:p w14:paraId="7132959F" w14:textId="0E589FD1" w:rsidR="00C24E8B" w:rsidRPr="00C24E8B" w:rsidRDefault="00C24E8B" w:rsidP="00D62AB2">
      <w:pPr>
        <w:spacing w:line="100" w:lineRule="atLeast"/>
        <w:jc w:val="both"/>
        <w:rPr>
          <w:b/>
          <w:bCs/>
          <w:i/>
          <w:iCs/>
          <w:color w:val="000000"/>
        </w:rPr>
      </w:pPr>
      <w:r>
        <w:rPr>
          <w:b/>
          <w:bCs/>
          <w:color w:val="000000"/>
          <w:sz w:val="21"/>
          <w:szCs w:val="21"/>
        </w:rPr>
        <w:t xml:space="preserve">Document 19 : </w:t>
      </w:r>
      <w:r w:rsidRPr="004F6E0B">
        <w:rPr>
          <w:sz w:val="22"/>
          <w:szCs w:val="22"/>
        </w:rPr>
        <w:t>CE, 9 novembre 2016, Fédération départementale des libres penseurs de Seine-et-Marne</w:t>
      </w:r>
      <w:r w:rsidRPr="004F6E0B">
        <w:rPr>
          <w:b/>
          <w:bCs/>
          <w:i/>
          <w:iCs/>
          <w:sz w:val="22"/>
          <w:szCs w:val="22"/>
        </w:rPr>
        <w:t> </w:t>
      </w:r>
    </w:p>
    <w:p w14:paraId="4CCA6EC8" w14:textId="77777777" w:rsidR="00D62AB2" w:rsidRDefault="00D62AB2" w:rsidP="00D62AB2">
      <w:pPr>
        <w:spacing w:line="100" w:lineRule="atLeast"/>
        <w:jc w:val="both"/>
        <w:rPr>
          <w:b/>
          <w:bCs/>
          <w:i/>
          <w:iCs/>
          <w:color w:val="000000"/>
        </w:rPr>
      </w:pPr>
    </w:p>
    <w:p w14:paraId="0D08C1E8" w14:textId="4CDB9CDC" w:rsidR="00D62AB2" w:rsidRDefault="00D62AB2" w:rsidP="00D62AB2">
      <w:pPr>
        <w:spacing w:line="100" w:lineRule="atLeast"/>
        <w:jc w:val="both"/>
        <w:rPr>
          <w:b/>
          <w:bCs/>
          <w:i/>
          <w:iCs/>
          <w:color w:val="000000"/>
        </w:rPr>
      </w:pPr>
      <w:r>
        <w:rPr>
          <w:b/>
          <w:bCs/>
          <w:i/>
          <w:iCs/>
          <w:color w:val="000000"/>
        </w:rPr>
        <w:t>§2) Devoir de réserve</w:t>
      </w:r>
    </w:p>
    <w:p w14:paraId="201D9152" w14:textId="77777777" w:rsidR="006B57F3" w:rsidRDefault="006B57F3" w:rsidP="00D62AB2">
      <w:pPr>
        <w:spacing w:line="100" w:lineRule="atLeast"/>
        <w:jc w:val="both"/>
        <w:rPr>
          <w:b/>
          <w:color w:val="000000"/>
          <w:sz w:val="21"/>
          <w:szCs w:val="21"/>
        </w:rPr>
      </w:pPr>
    </w:p>
    <w:p w14:paraId="3C3632C9" w14:textId="1CFBE5D7" w:rsidR="004F6E0B" w:rsidRPr="00C24E8B" w:rsidRDefault="00D62AB2" w:rsidP="00D62AB2">
      <w:pPr>
        <w:spacing w:line="100" w:lineRule="atLeast"/>
        <w:jc w:val="both"/>
        <w:rPr>
          <w:color w:val="000000"/>
          <w:sz w:val="21"/>
          <w:szCs w:val="21"/>
        </w:rPr>
      </w:pPr>
      <w:r>
        <w:rPr>
          <w:b/>
          <w:color w:val="000000"/>
          <w:sz w:val="21"/>
          <w:szCs w:val="21"/>
        </w:rPr>
        <w:t xml:space="preserve">Document </w:t>
      </w:r>
      <w:r w:rsidR="00C24E8B">
        <w:rPr>
          <w:b/>
          <w:color w:val="000000"/>
          <w:sz w:val="21"/>
          <w:szCs w:val="21"/>
        </w:rPr>
        <w:t>20</w:t>
      </w:r>
      <w:r>
        <w:rPr>
          <w:b/>
          <w:color w:val="000000"/>
          <w:sz w:val="21"/>
          <w:szCs w:val="21"/>
        </w:rPr>
        <w:t> :</w:t>
      </w:r>
      <w:r>
        <w:rPr>
          <w:color w:val="000000"/>
          <w:sz w:val="21"/>
          <w:szCs w:val="21"/>
        </w:rPr>
        <w:t xml:space="preserve"> CE, 11 janvier 2011, </w:t>
      </w:r>
      <w:proofErr w:type="spellStart"/>
      <w:r>
        <w:rPr>
          <w:color w:val="000000"/>
          <w:sz w:val="21"/>
          <w:szCs w:val="21"/>
        </w:rPr>
        <w:t>Matelly</w:t>
      </w:r>
      <w:proofErr w:type="spellEnd"/>
    </w:p>
    <w:p w14:paraId="1A57D5DA" w14:textId="423CB616" w:rsidR="004F6E0B" w:rsidRPr="00EA3512" w:rsidRDefault="00EA3512" w:rsidP="00D62AB2">
      <w:pPr>
        <w:spacing w:line="100" w:lineRule="atLeast"/>
        <w:jc w:val="both"/>
        <w:rPr>
          <w:b/>
          <w:bCs/>
          <w:color w:val="000000"/>
          <w:sz w:val="26"/>
          <w:szCs w:val="26"/>
          <w:u w:val="single"/>
        </w:rPr>
      </w:pPr>
      <w:r w:rsidRPr="00EA3512">
        <w:rPr>
          <w:b/>
          <w:bCs/>
          <w:color w:val="000000"/>
          <w:sz w:val="26"/>
          <w:szCs w:val="26"/>
          <w:u w:val="single"/>
        </w:rPr>
        <w:lastRenderedPageBreak/>
        <w:t xml:space="preserve">III) </w:t>
      </w:r>
      <w:r w:rsidR="004F6E0B" w:rsidRPr="00EA3512">
        <w:rPr>
          <w:b/>
          <w:bCs/>
          <w:color w:val="000000"/>
          <w:sz w:val="26"/>
          <w:szCs w:val="26"/>
          <w:u w:val="single"/>
        </w:rPr>
        <w:t xml:space="preserve">Neutralité et usagers du service public </w:t>
      </w:r>
    </w:p>
    <w:p w14:paraId="678EAFBD" w14:textId="000DA41C" w:rsidR="006B57F3" w:rsidRDefault="006B57F3" w:rsidP="00D62AB2">
      <w:pPr>
        <w:spacing w:line="100" w:lineRule="atLeast"/>
        <w:jc w:val="both"/>
        <w:rPr>
          <w:b/>
          <w:sz w:val="26"/>
          <w:szCs w:val="26"/>
          <w:u w:val="single"/>
        </w:rPr>
      </w:pPr>
    </w:p>
    <w:p w14:paraId="10D3CBC6" w14:textId="3CC653ED" w:rsidR="004F6E0B" w:rsidRDefault="004F6E0B" w:rsidP="00D62AB2">
      <w:pPr>
        <w:spacing w:line="100" w:lineRule="atLeast"/>
        <w:jc w:val="both"/>
        <w:rPr>
          <w:bCs/>
          <w:iCs/>
          <w:sz w:val="22"/>
          <w:szCs w:val="22"/>
        </w:rPr>
      </w:pPr>
      <w:r w:rsidRPr="004F6E0B">
        <w:rPr>
          <w:b/>
        </w:rPr>
        <w:t>Document 2</w:t>
      </w:r>
      <w:r w:rsidR="00C24E8B">
        <w:rPr>
          <w:b/>
        </w:rPr>
        <w:t>2</w:t>
      </w:r>
      <w:r w:rsidRPr="004F6E0B">
        <w:rPr>
          <w:b/>
        </w:rPr>
        <w:t> </w:t>
      </w:r>
      <w:r>
        <w:rPr>
          <w:b/>
          <w:sz w:val="26"/>
          <w:szCs w:val="26"/>
        </w:rPr>
        <w:t xml:space="preserve">: </w:t>
      </w:r>
      <w:r w:rsidRPr="004F6E0B">
        <w:rPr>
          <w:bCs/>
          <w:iCs/>
          <w:sz w:val="22"/>
          <w:szCs w:val="22"/>
        </w:rPr>
        <w:t>CE</w:t>
      </w:r>
      <w:r>
        <w:rPr>
          <w:bCs/>
          <w:iCs/>
          <w:sz w:val="22"/>
          <w:szCs w:val="22"/>
        </w:rPr>
        <w:t xml:space="preserve">, </w:t>
      </w:r>
      <w:r w:rsidRPr="004F6E0B">
        <w:rPr>
          <w:bCs/>
          <w:iCs/>
          <w:sz w:val="22"/>
          <w:szCs w:val="22"/>
        </w:rPr>
        <w:t>2 novembre 1992</w:t>
      </w:r>
      <w:r>
        <w:rPr>
          <w:bCs/>
          <w:iCs/>
          <w:sz w:val="22"/>
          <w:szCs w:val="22"/>
        </w:rPr>
        <w:t>, Kherouaa</w:t>
      </w:r>
      <w:r w:rsidRPr="004F6E0B">
        <w:rPr>
          <w:bCs/>
          <w:iCs/>
          <w:sz w:val="22"/>
          <w:szCs w:val="22"/>
        </w:rPr>
        <w:t xml:space="preserve"> </w:t>
      </w:r>
    </w:p>
    <w:p w14:paraId="44B8EDF9" w14:textId="487CBE75" w:rsidR="00206E63" w:rsidRDefault="00206E63" w:rsidP="00D62AB2">
      <w:pPr>
        <w:spacing w:line="100" w:lineRule="atLeast"/>
        <w:jc w:val="both"/>
        <w:rPr>
          <w:bCs/>
          <w:iCs/>
          <w:sz w:val="22"/>
          <w:szCs w:val="22"/>
        </w:rPr>
      </w:pPr>
    </w:p>
    <w:p w14:paraId="74A35CE0" w14:textId="77777777" w:rsidR="00206E63" w:rsidRDefault="00206E63" w:rsidP="00D62AB2">
      <w:pPr>
        <w:spacing w:line="100" w:lineRule="atLeast"/>
        <w:jc w:val="both"/>
        <w:rPr>
          <w:bCs/>
          <w:iCs/>
          <w:sz w:val="22"/>
          <w:szCs w:val="22"/>
        </w:rPr>
      </w:pPr>
    </w:p>
    <w:p w14:paraId="3E0628CA" w14:textId="321AC823" w:rsidR="00206E63" w:rsidRPr="00206E63" w:rsidRDefault="00206E63" w:rsidP="00D62AB2">
      <w:pPr>
        <w:spacing w:line="100" w:lineRule="atLeast"/>
        <w:jc w:val="both"/>
        <w:rPr>
          <w:b/>
          <w:iCs/>
          <w:sz w:val="28"/>
          <w:szCs w:val="28"/>
          <w:u w:val="single"/>
        </w:rPr>
      </w:pPr>
      <w:r w:rsidRPr="00206E63">
        <w:rPr>
          <w:b/>
          <w:iCs/>
          <w:sz w:val="28"/>
          <w:szCs w:val="28"/>
          <w:u w:val="single"/>
        </w:rPr>
        <w:t>III) Exercice </w:t>
      </w:r>
    </w:p>
    <w:p w14:paraId="6FD57A0F" w14:textId="6BB878EC" w:rsidR="00206E63" w:rsidRDefault="00206E63" w:rsidP="006D510F">
      <w:pPr>
        <w:pStyle w:val="Sansinterligne"/>
      </w:pPr>
    </w:p>
    <w:p w14:paraId="67253931" w14:textId="6053615F" w:rsidR="006D510F" w:rsidRPr="006D510F" w:rsidRDefault="00C57A87" w:rsidP="006D510F">
      <w:pPr>
        <w:pStyle w:val="Sansinterligne"/>
      </w:pPr>
      <w:r>
        <w:rPr>
          <w:b/>
        </w:rPr>
        <w:t xml:space="preserve">Commentaire : </w:t>
      </w:r>
      <w:r w:rsidR="006D510F" w:rsidRPr="006D510F">
        <w:t>Conseil d'État, Juge des référés, formation collégiale, 21/06/2022, 464648, Inédit au recueil Lebon</w:t>
      </w:r>
      <w:r w:rsidR="006D510F">
        <w:t>.</w:t>
      </w:r>
    </w:p>
    <w:p w14:paraId="1F03F018" w14:textId="1A0FF075" w:rsidR="00206E63" w:rsidRPr="00206E63" w:rsidRDefault="00206E63" w:rsidP="00D62AB2">
      <w:pPr>
        <w:spacing w:line="100" w:lineRule="atLeast"/>
        <w:jc w:val="both"/>
        <w:rPr>
          <w:b/>
          <w:sz w:val="28"/>
          <w:szCs w:val="28"/>
        </w:rPr>
      </w:pPr>
    </w:p>
    <w:p w14:paraId="3F9AF26F" w14:textId="77777777" w:rsidR="004F6E0B" w:rsidRPr="004F6E0B" w:rsidRDefault="004F6E0B" w:rsidP="00D62AB2">
      <w:pPr>
        <w:spacing w:line="100" w:lineRule="atLeast"/>
        <w:jc w:val="both"/>
        <w:rPr>
          <w:b/>
          <w:sz w:val="26"/>
          <w:szCs w:val="26"/>
        </w:rPr>
      </w:pPr>
    </w:p>
    <w:p w14:paraId="2E97228C" w14:textId="77777777" w:rsidR="004F6E0B" w:rsidRDefault="004F6E0B">
      <w:pPr>
        <w:widowControl/>
        <w:suppressAutoHyphens w:val="0"/>
        <w:spacing w:after="160" w:line="259" w:lineRule="auto"/>
        <w:rPr>
          <w:b/>
          <w:sz w:val="26"/>
          <w:szCs w:val="26"/>
          <w:u w:val="single"/>
        </w:rPr>
      </w:pPr>
      <w:r>
        <w:rPr>
          <w:b/>
          <w:sz w:val="26"/>
          <w:szCs w:val="26"/>
          <w:u w:val="single"/>
        </w:rPr>
        <w:br w:type="page"/>
      </w:r>
    </w:p>
    <w:p w14:paraId="374C5536" w14:textId="4C2E7DA6" w:rsidR="00D62AB2" w:rsidRDefault="00D62AB2" w:rsidP="00D62AB2">
      <w:pPr>
        <w:spacing w:line="100" w:lineRule="atLeast"/>
        <w:jc w:val="both"/>
        <w:rPr>
          <w:b/>
        </w:rPr>
      </w:pPr>
      <w:r>
        <w:rPr>
          <w:b/>
          <w:sz w:val="26"/>
          <w:szCs w:val="26"/>
          <w:u w:val="single"/>
        </w:rPr>
        <w:t>I) Égalité de traitement</w:t>
      </w:r>
    </w:p>
    <w:p w14:paraId="066DCC3E" w14:textId="77777777" w:rsidR="00D62AB2" w:rsidRDefault="00D62AB2" w:rsidP="00D62AB2">
      <w:pPr>
        <w:spacing w:line="100" w:lineRule="atLeast"/>
        <w:jc w:val="both"/>
        <w:rPr>
          <w:b/>
        </w:rPr>
      </w:pPr>
    </w:p>
    <w:p w14:paraId="3D410EE9" w14:textId="77777777" w:rsidR="00D62AB2" w:rsidRDefault="00D62AB2" w:rsidP="00D62AB2">
      <w:pPr>
        <w:spacing w:line="100" w:lineRule="atLeast"/>
        <w:jc w:val="both"/>
        <w:rPr>
          <w:b/>
          <w:i/>
          <w:iCs/>
        </w:rPr>
      </w:pPr>
      <w:r>
        <w:rPr>
          <w:b/>
          <w:i/>
          <w:iCs/>
        </w:rPr>
        <w:t>§1) Consécration du principe et de ses déclinaisons</w:t>
      </w:r>
    </w:p>
    <w:p w14:paraId="03E5D6D1" w14:textId="77777777" w:rsidR="00D62AB2" w:rsidRDefault="00D62AB2" w:rsidP="00D62AB2">
      <w:pPr>
        <w:spacing w:line="100" w:lineRule="atLeast"/>
        <w:jc w:val="both"/>
        <w:rPr>
          <w:b/>
          <w:i/>
          <w:iCs/>
        </w:rPr>
      </w:pPr>
    </w:p>
    <w:p w14:paraId="236EBF0F" w14:textId="77777777" w:rsidR="00D62AB2" w:rsidRDefault="00D62AB2" w:rsidP="00D62AB2">
      <w:pPr>
        <w:spacing w:line="100" w:lineRule="atLeast"/>
        <w:jc w:val="both"/>
        <w:rPr>
          <w:color w:val="000000"/>
        </w:rPr>
      </w:pPr>
      <w:r>
        <w:rPr>
          <w:b/>
        </w:rPr>
        <w:t xml:space="preserve">Document 1 : </w:t>
      </w:r>
      <w:r>
        <w:t xml:space="preserve">CE, </w:t>
      </w:r>
      <w:proofErr w:type="spellStart"/>
      <w:r>
        <w:t>Ass</w:t>
      </w:r>
      <w:proofErr w:type="spellEnd"/>
      <w:r>
        <w:t>., 25 juin 1948, Société Journal l’Aurore</w:t>
      </w:r>
    </w:p>
    <w:p w14:paraId="6AA45F97" w14:textId="6A70BE3E" w:rsidR="00D62AB2" w:rsidRDefault="00D62AB2" w:rsidP="00D62AB2">
      <w:pPr>
        <w:spacing w:line="100" w:lineRule="atLeast"/>
        <w:rPr>
          <w:color w:val="000000"/>
        </w:rPr>
      </w:pPr>
    </w:p>
    <w:p w14:paraId="023F2E30" w14:textId="77777777" w:rsidR="006B57F3" w:rsidRDefault="006B57F3" w:rsidP="00D62AB2">
      <w:pPr>
        <w:spacing w:line="100" w:lineRule="atLeast"/>
        <w:rPr>
          <w:color w:val="000000"/>
        </w:rPr>
      </w:pPr>
    </w:p>
    <w:p w14:paraId="3EF40616" w14:textId="77777777" w:rsidR="00D62AB2" w:rsidRDefault="00D62AB2" w:rsidP="00D62AB2">
      <w:pPr>
        <w:spacing w:line="100" w:lineRule="atLeast"/>
        <w:jc w:val="both"/>
      </w:pPr>
      <w:r>
        <w:t>Considérant qu'il est constant qu'en raison de l'intervalle de temps qui sépare deux relevés successifs de compteur le premier relevé postérieur au 1er janvier 1948 comprend, pour une part plus ou moins importante selon la date à laquelle il intervient, des consommations antérieures au 1er janvier ; qu'en décidant que ces consommations seront facturées au tarif majoré, l'arrêté attaqué viole tant le principe en vertu duquel les règlements ne disposent que pour l'avenir que la règle posée dans les articles 29 et suivants de l'ordonnance du 30 juin 1945 d'après laquelle le public doit être avisé, avant même qu'ils soient applicables, des prix de tous produits et services arrêtés par l'autorité publique ; qu'en outre la disposition contestée a pour conséquence de faire payer à des tarifs différents le courant consommé dans les dernières semaines de l'année 1947 par les usagers, selon que leurs compteurs sont relevés avant ou après le 1er janvier 1948. Qu'il méconnaît ainsi le principe de l'égalité entre les usagers du service public ; qu'il était loisible aux auteurs de l'arrêté attaqué de soustraire celui-ci à toute critique d'illégalité en prenant toutes mesures appropriées en vue de distinguer, fût-ce même forfaitairement, les consommations respectivement afférentes à la période antérieure au 1er janvier 1948 et à la période postérieure à cette date, et en ne faisant application qu'à ces dernières du tarif majoré ;</w:t>
      </w:r>
    </w:p>
    <w:p w14:paraId="329A58DA" w14:textId="77777777" w:rsidR="00D62AB2" w:rsidRDefault="00D62AB2" w:rsidP="00D62AB2">
      <w:pPr>
        <w:spacing w:line="100" w:lineRule="atLeast"/>
      </w:pPr>
    </w:p>
    <w:p w14:paraId="664F7B62" w14:textId="77777777" w:rsidR="00D62AB2" w:rsidRDefault="00D62AB2" w:rsidP="00D62AB2">
      <w:pPr>
        <w:spacing w:line="100" w:lineRule="atLeast"/>
      </w:pPr>
    </w:p>
    <w:p w14:paraId="123D56CA" w14:textId="77777777" w:rsidR="00D62AB2" w:rsidRDefault="00D62AB2" w:rsidP="00D62AB2">
      <w:pPr>
        <w:spacing w:line="100" w:lineRule="atLeast"/>
      </w:pPr>
    </w:p>
    <w:p w14:paraId="56374458" w14:textId="77777777" w:rsidR="00D62AB2" w:rsidRDefault="00D62AB2" w:rsidP="00D62AB2">
      <w:pPr>
        <w:spacing w:line="100" w:lineRule="atLeast"/>
      </w:pPr>
      <w:r>
        <w:rPr>
          <w:b/>
        </w:rPr>
        <w:t xml:space="preserve">Document 2 : </w:t>
      </w:r>
      <w:r>
        <w:t>CE, Sect., 9 mars 1951, Sté des Concerts du Conservatoire</w:t>
      </w:r>
    </w:p>
    <w:p w14:paraId="2145D051" w14:textId="77777777" w:rsidR="00D62AB2" w:rsidRDefault="00D62AB2" w:rsidP="00D62AB2">
      <w:pPr>
        <w:spacing w:line="100" w:lineRule="atLeast"/>
      </w:pPr>
    </w:p>
    <w:p w14:paraId="0E557FEE" w14:textId="77777777" w:rsidR="00D62AB2" w:rsidRDefault="00D62AB2" w:rsidP="00D62AB2">
      <w:pPr>
        <w:spacing w:line="100" w:lineRule="atLeast"/>
        <w:jc w:val="both"/>
      </w:pPr>
      <w:r>
        <w:t>Considérant qu'il résulte de l'instruction qu'à la suite de la sanction infligée par le comité de direction de la société des concerts du Conservatoire, conformément aux statuts de celle-ci, à deux membres de cette association qui, au lieu d'assurer leur service dans son orchestre, ont, malgré la défense qui leur en avait été faite, prêté leur concours à un concert organisé à la radiodiffusion française le 15 janvier 1947, l'administration de la radiodiffusion française a décidé de suspendre toute retransmission radiophonique des concerts de la société requérante jusqu'à ce que le ministre chargé des Beaux-Arts se soit prononcé sur la demande de sanction qu'elle formulait contre le secrétaire général de ladite société ;</w:t>
      </w:r>
    </w:p>
    <w:p w14:paraId="01199266" w14:textId="77777777" w:rsidR="00D62AB2" w:rsidRDefault="00D62AB2" w:rsidP="00D62AB2">
      <w:pPr>
        <w:spacing w:line="100" w:lineRule="atLeast"/>
        <w:jc w:val="both"/>
      </w:pPr>
      <w:r>
        <w:t>Considérant qu'en frappant la société requérante d'une mesure d'exclusion à raison des incidents susrelatés, sans qu'aucun motif tiré de l'intérêt général pût justifier cette décision, l'administration de la radiodiffusion française a usé de ses pouvoirs pour un autre but que celui en vue duquel ils lui sont conférés et a méconnu le principe d'égalité qui régit le fonctionnement des services publics et qui donnait à la société requérante, traitée jusqu'alors comme les autres grandes sociétés philharmoniques, vocation à être appelée, le cas échéant, à prêter son concours aux émissions de la radiodiffusion ;</w:t>
      </w:r>
    </w:p>
    <w:p w14:paraId="4D120ABA" w14:textId="77777777" w:rsidR="00D62AB2" w:rsidRDefault="00D62AB2" w:rsidP="00D62AB2">
      <w:pPr>
        <w:spacing w:line="100" w:lineRule="atLeast"/>
      </w:pPr>
    </w:p>
    <w:p w14:paraId="483259D6" w14:textId="77777777" w:rsidR="00D62AB2" w:rsidRDefault="00D62AB2" w:rsidP="00D62AB2">
      <w:pPr>
        <w:spacing w:line="100" w:lineRule="atLeast"/>
      </w:pPr>
    </w:p>
    <w:p w14:paraId="4EAD4AFF" w14:textId="77777777" w:rsidR="00D62AB2" w:rsidRDefault="00D62AB2" w:rsidP="00D62AB2">
      <w:pPr>
        <w:spacing w:line="100" w:lineRule="atLeast"/>
        <w:jc w:val="both"/>
      </w:pPr>
      <w:r>
        <w:rPr>
          <w:b/>
        </w:rPr>
        <w:t>Document 3 :</w:t>
      </w:r>
      <w:r>
        <w:t xml:space="preserve"> Cons. </w:t>
      </w:r>
      <w:proofErr w:type="spellStart"/>
      <w:proofErr w:type="gramStart"/>
      <w:r>
        <w:t>const</w:t>
      </w:r>
      <w:proofErr w:type="spellEnd"/>
      <w:proofErr w:type="gramEnd"/>
      <w:r>
        <w:t>., 27 juin 2001, déc. n° 2001-446 DC, Loi relative à l'interruption volontaire de grossesse et à la contraception</w:t>
      </w:r>
    </w:p>
    <w:p w14:paraId="6922F3D2" w14:textId="77777777" w:rsidR="00D62AB2" w:rsidRDefault="00D62AB2" w:rsidP="00D62AB2">
      <w:pPr>
        <w:spacing w:line="100" w:lineRule="atLeast"/>
        <w:jc w:val="both"/>
      </w:pPr>
    </w:p>
    <w:p w14:paraId="7CF0C1A9" w14:textId="77777777" w:rsidR="00D62AB2" w:rsidRDefault="00D62AB2" w:rsidP="00D62AB2">
      <w:pPr>
        <w:spacing w:line="100" w:lineRule="atLeast"/>
        <w:jc w:val="both"/>
      </w:pPr>
      <w:r>
        <w:t>15. Considérant que, si le chef de service d'un établissement public de santé ne peut, en application de la disposition contestée, s'opposer à ce que des interruptions volontaires de grossesse soient effectuées dans son service, il conserve, en application des dispositions précitées du code de la santé publique, le droit de ne pas en pratiquer lui-même ; qu'est ainsi sauvegardée sa liberté, laquelle relève de sa conscience personnelle et ne saurait s'exercer aux dépens de celle des autres médecins et membres du personnel hospitalier qui travaillent dans son service ; que ces dispositions concourent par ailleurs au respect du principe constitutionnel d'égalité des usagers devant la loi et devant le service public ;</w:t>
      </w:r>
    </w:p>
    <w:p w14:paraId="3B4272B2" w14:textId="77777777" w:rsidR="00D62AB2" w:rsidRDefault="00D62AB2" w:rsidP="00D62AB2">
      <w:pPr>
        <w:spacing w:line="100" w:lineRule="atLeast"/>
        <w:jc w:val="both"/>
      </w:pPr>
    </w:p>
    <w:p w14:paraId="7F36EBB4" w14:textId="77777777" w:rsidR="00D62AB2" w:rsidRDefault="00D62AB2" w:rsidP="00D62AB2">
      <w:pPr>
        <w:spacing w:line="100" w:lineRule="atLeast"/>
        <w:jc w:val="both"/>
      </w:pPr>
    </w:p>
    <w:p w14:paraId="78FD5ECF" w14:textId="77777777" w:rsidR="00D62AB2" w:rsidRDefault="00D62AB2" w:rsidP="00D62AB2">
      <w:pPr>
        <w:spacing w:line="100" w:lineRule="atLeast"/>
        <w:jc w:val="both"/>
      </w:pPr>
    </w:p>
    <w:p w14:paraId="2B2B264F" w14:textId="77777777" w:rsidR="00D62AB2" w:rsidRDefault="00D62AB2" w:rsidP="00D62AB2">
      <w:pPr>
        <w:spacing w:line="100" w:lineRule="atLeast"/>
        <w:jc w:val="both"/>
      </w:pPr>
    </w:p>
    <w:p w14:paraId="316968F6" w14:textId="77777777" w:rsidR="00D62AB2" w:rsidRDefault="00D62AB2" w:rsidP="00D62AB2">
      <w:pPr>
        <w:spacing w:line="100" w:lineRule="atLeast"/>
        <w:jc w:val="both"/>
        <w:rPr>
          <w:b/>
        </w:rPr>
      </w:pPr>
    </w:p>
    <w:p w14:paraId="33EC6B0D" w14:textId="77777777" w:rsidR="00D62AB2" w:rsidRDefault="00D62AB2" w:rsidP="00D62AB2">
      <w:pPr>
        <w:spacing w:line="100" w:lineRule="atLeast"/>
        <w:jc w:val="both"/>
      </w:pPr>
      <w:r>
        <w:rPr>
          <w:b/>
        </w:rPr>
        <w:t xml:space="preserve">Document 4 : </w:t>
      </w:r>
      <w:r>
        <w:t xml:space="preserve">CE, </w:t>
      </w:r>
      <w:proofErr w:type="spellStart"/>
      <w:r>
        <w:t>Ass</w:t>
      </w:r>
      <w:proofErr w:type="spellEnd"/>
      <w:r>
        <w:t>., 28 mai 1954, Barel</w:t>
      </w:r>
    </w:p>
    <w:p w14:paraId="0FD3A8B8" w14:textId="77777777" w:rsidR="00D62AB2" w:rsidRDefault="00D62AB2" w:rsidP="00D62AB2">
      <w:pPr>
        <w:spacing w:line="100" w:lineRule="atLeast"/>
        <w:jc w:val="both"/>
      </w:pPr>
    </w:p>
    <w:p w14:paraId="45FC49E6" w14:textId="77777777" w:rsidR="00D62AB2" w:rsidRDefault="00D62AB2" w:rsidP="00D62AB2">
      <w:pPr>
        <w:spacing w:line="100" w:lineRule="atLeast"/>
        <w:jc w:val="both"/>
      </w:pPr>
      <w:r>
        <w:t>Considérant que, s'il appartient au secrétaire d'Etat, chargé par les textes précités d'arrêter la liste des candidats admis à concourir, d'apprécier, dans l'intérêt du service, si les candidats présentent les garanties requises pour l'exercice des fonctions auxquelles donnent accès les études poursuivies à l'Ecole nationale d'administration et s'il peut, à cet égard, tenir compte de faits et manifestations contraires à la réserve que doivent observer ces candidats, il ne saurait, sans méconnaître le principe de l'égalité de l'accès de tous les Français aux emplois et fonctions publics, écarter de ladite liste un candidat en se fondant exclusivement sur ses opinions politiques ;</w:t>
      </w:r>
    </w:p>
    <w:p w14:paraId="7AABD916" w14:textId="77777777" w:rsidR="00D62AB2" w:rsidRDefault="00D62AB2" w:rsidP="00D62AB2">
      <w:pPr>
        <w:spacing w:line="100" w:lineRule="atLeast"/>
        <w:jc w:val="both"/>
      </w:pPr>
    </w:p>
    <w:p w14:paraId="2DB42DB5" w14:textId="77777777" w:rsidR="00D62AB2" w:rsidRDefault="00D62AB2" w:rsidP="00D62AB2">
      <w:pPr>
        <w:spacing w:line="100" w:lineRule="atLeast"/>
        <w:jc w:val="both"/>
      </w:pPr>
      <w:r>
        <w:t>Considérant que les requérants, auxquels le secrétaire d'Etat à la présidence du Conseil a, par les décisions attaquées, refusé l'autorisation de prendre part au concours ouvert en 1953 pour l'admission à l'Ecole nationale d'administration, soutiennent qu'ils n'ont été éliminés de la liste des candidats arrêtée par ledit secrétaire d'Etat qu'à raison des opinions politiques qui leur ont été imputées ; qu'ils se prévalent à l'appui de leur allégation de circonstances et de faits précis constituant des présomptions sérieuses ; que, néanmoins, le secrétaire d'Etat, dans ses observations sur les pourvois, s'il a contesté la portée des circonstances et faits susmentionnés, s'est borné à indiquer, en outre, qu'il appartenait au Conseil d'Etat de rechercher parmi les pièces versées aux dossiers celles qui lui permettaient de dégager les motifs des décisions prises et s'est ainsi abstenu de faire connaître le motif de ses décisions. Qu'en cet état de la procédure la Section du Contentieux, chargée de l'instruction des requêtes, usant du pouvoir qui appartient au Conseil d'Etat d'exiger de l'administration compétente la production de tous documents susceptibles d'établir la conviction du juge et de permettre la vérification des allégations des requérants a, par délibération du 19 mars 1954, demandé au secrétaire d'Etat la production des dossiers constitués au sujet de la candidature de chacun des requérants ; qu'en ce qui concerne les sieurs X... et Y..., aucune suite n'a été donnée par le secrétaire d'Etat à cette demande ; que, s'agissant des sieurs A..., Z... et B..., la Section du Contentieux a, en réponse à une lettre du secrétaire d'Etat en date du 13 mai 1954 concernant ces trois candidats, précisé que les dossiers dont le Conseil d'Etat réclamait la communication comprennent l'ensemble des pièces, rapports et documents au vu desquels les décisions attaquées ont été prises. Qu'il n'a pas été satisfait à cette dernière demande par les productions faites le 25 mai 1954 ; qu'il ressort de l'ensemble des circonstances susrelatées de l'affaire que le motif allégué par les auteurs des pourvois doit être regardé comme établi ; que, dès lors, les requérants sont fondés à soutenir que les décisions déférées au Conseil d'Etat reposent sur un motif entaché d'erreur de droit et, par suite, à en demander l'annulation pour excès de pouvoir ;</w:t>
      </w:r>
    </w:p>
    <w:p w14:paraId="744A5763" w14:textId="77777777" w:rsidR="00D62AB2" w:rsidRDefault="00D62AB2" w:rsidP="00D62AB2">
      <w:pPr>
        <w:spacing w:line="100" w:lineRule="atLeast"/>
        <w:jc w:val="both"/>
      </w:pPr>
    </w:p>
    <w:p w14:paraId="63075A9D" w14:textId="77777777" w:rsidR="00D62AB2" w:rsidRDefault="00D62AB2" w:rsidP="00D62AB2">
      <w:pPr>
        <w:spacing w:line="100" w:lineRule="atLeast"/>
        <w:jc w:val="both"/>
      </w:pPr>
    </w:p>
    <w:p w14:paraId="2C2C175F" w14:textId="77777777" w:rsidR="00D62AB2" w:rsidRDefault="00D62AB2" w:rsidP="00D62AB2">
      <w:pPr>
        <w:spacing w:line="100" w:lineRule="atLeast"/>
        <w:jc w:val="both"/>
      </w:pPr>
      <w:r>
        <w:rPr>
          <w:b/>
        </w:rPr>
        <w:t xml:space="preserve">Document 5 : </w:t>
      </w:r>
      <w:r>
        <w:t xml:space="preserve">CE, </w:t>
      </w:r>
      <w:proofErr w:type="spellStart"/>
      <w:r>
        <w:t>Ass</w:t>
      </w:r>
      <w:proofErr w:type="spellEnd"/>
      <w:r>
        <w:t>., 8 déc. 2010, Fédération syndicat généraux de l'éducation nationale et de la recherche publique</w:t>
      </w:r>
    </w:p>
    <w:p w14:paraId="3289654A" w14:textId="77777777" w:rsidR="00D62AB2" w:rsidRDefault="00D62AB2" w:rsidP="00D62AB2">
      <w:pPr>
        <w:spacing w:line="100" w:lineRule="atLeast"/>
        <w:jc w:val="both"/>
      </w:pPr>
    </w:p>
    <w:p w14:paraId="5BFF9030" w14:textId="77777777" w:rsidR="00D62AB2" w:rsidRDefault="00D62AB2" w:rsidP="00D62AB2">
      <w:pPr>
        <w:spacing w:line="100" w:lineRule="atLeast"/>
        <w:jc w:val="both"/>
      </w:pPr>
      <w:r>
        <w:t xml:space="preserve">Considérant qu'aux termes de l'article 2 du décret du 12 mai 1981 relatif au recrutement de professeurs contractuels, dans sa rédaction en vigueur, qui résulte du décret modificatif du 27 juillet 1989 : Les candidats à un emploi de professeur contractuel doivent posséder l'un des titres ou justifier d'une qualification professionnelle permettant leur classement dans l'une des quatre catégories prévues à l'article 4 ci-dessous. / Ils doivent en outre remplir les conditions d'aptitude physique exigées des candidats aux fonctions d'enseignement dans l'enseignement du second degré. / Les candidats doivent être âgés d'au moins </w:t>
      </w:r>
      <w:proofErr w:type="spellStart"/>
      <w:r>
        <w:t>trente cinq</w:t>
      </w:r>
      <w:proofErr w:type="spellEnd"/>
      <w:r>
        <w:t xml:space="preserve"> ans à la date de conclusion du contrat. / Toutefois, dans les disciplines pour lesquelles ne sont pas ouverts de concours de recrutement la même année et pour l'exécution des conventions mentionnées au deuxième alinéa de l'article premier ci-dessus, et pour le recrutement de contractuels intervenants dans le dispositif d'insertion des jeunes, aucune condition d'âge n'est requise ; qu'aux termes du b) du paragraphe 2 de l'article 2 de la directive 2000/78/CE du Conseil du 27 novembre 2000 portant création d'un cadre général en faveur de l'égalité de traitement en matière d'emploi et de travail :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 : /i) cette disposition, ce critère ou cette pratique ne soit objectivement justifié par un objectif légitime et que les moyens de réaliser cet objectif ne soient appropriés et nécessaires ; qu'aux termes du paragraphe 1 de l'article 6 de la même directive (...) les Etats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 (...) ;</w:t>
      </w:r>
    </w:p>
    <w:p w14:paraId="764B6623" w14:textId="77777777" w:rsidR="00D62AB2" w:rsidRDefault="00D62AB2" w:rsidP="00D62AB2">
      <w:pPr>
        <w:spacing w:line="100" w:lineRule="atLeast"/>
        <w:jc w:val="both"/>
      </w:pPr>
    </w:p>
    <w:p w14:paraId="459A51B6" w14:textId="77777777" w:rsidR="00D62AB2" w:rsidRDefault="00D62AB2" w:rsidP="00D62AB2">
      <w:pPr>
        <w:spacing w:line="100" w:lineRule="atLeast"/>
        <w:jc w:val="both"/>
      </w:pPr>
      <w:r>
        <w:t xml:space="preserve">Considérant que les dispositions contestées du décret litigieux réservent un traitement moins favorable aux personnes qui n'ont pas atteint le seuil d'âge de 35 ans par rapport à celles qui dépassent cet âge ; que, d'une part, l'application de ce critère peut conduire à traiter de façon différente des personnes qui présentent les titres et les qualifications professionnelles requis par la réglementation et remplissent par ailleurs les conditions d'aptitude physique, la différence de traitement se fondant exclusivement sur le critère de l'âge respectif de ces personnes ; que, ce faisant, le décret attaqué instaure une discrimination directe fondée sur l'âge au sens du b) du paragraphe 2 de l'article 2 de la directive du 27 novembre 2000, qui était transposée à la date de la décision attaquée ; que d'autre part, le ministre de l'éducation, qui s'est remis à la sagesse du Conseil d'Etat pour apprécier le bien-fondé de la requête, ne produit aucun élément objectif justifiant que la disposition litigieuse puisse relever des dérogations au principe de non-discrimination en fonction de l'âge prévues par la directive 2000/78/CE au point b) du paragraphe 2 de son article 2 et au paragraphe 1 de son article 6 ; </w:t>
      </w:r>
    </w:p>
    <w:p w14:paraId="4C3D9CD7" w14:textId="77777777" w:rsidR="00D62AB2" w:rsidRDefault="00D62AB2" w:rsidP="00D62AB2">
      <w:pPr>
        <w:spacing w:line="100" w:lineRule="atLeast"/>
        <w:jc w:val="both"/>
      </w:pPr>
    </w:p>
    <w:p w14:paraId="72B6C942" w14:textId="77777777" w:rsidR="00D62AB2" w:rsidRDefault="00D62AB2" w:rsidP="00D62AB2">
      <w:pPr>
        <w:spacing w:line="100" w:lineRule="atLeast"/>
        <w:jc w:val="both"/>
      </w:pPr>
      <w:r>
        <w:t>Considérant qu'il résulte de ce qui précède que la fédération requérante est fondée à demander l'annulation du refus d'abrogation des dispositions de l'article 2 du décret du 12 mai 1981 relatives à l'âge des candidats à un emploi de professeur contractuel ;</w:t>
      </w:r>
    </w:p>
    <w:p w14:paraId="6953CB0E" w14:textId="77777777" w:rsidR="00D62AB2" w:rsidRDefault="00D62AB2" w:rsidP="00D62AB2">
      <w:pPr>
        <w:spacing w:line="100" w:lineRule="atLeast"/>
        <w:jc w:val="both"/>
      </w:pPr>
    </w:p>
    <w:p w14:paraId="4EA1CF72" w14:textId="77777777" w:rsidR="00D62AB2" w:rsidRDefault="00D62AB2" w:rsidP="00D62AB2">
      <w:pPr>
        <w:spacing w:line="100" w:lineRule="atLeast"/>
        <w:jc w:val="both"/>
      </w:pPr>
    </w:p>
    <w:p w14:paraId="30A02FD1" w14:textId="77777777" w:rsidR="00D62AB2" w:rsidRDefault="00D62AB2" w:rsidP="00D62AB2">
      <w:pPr>
        <w:spacing w:line="100" w:lineRule="atLeast"/>
        <w:jc w:val="both"/>
      </w:pPr>
      <w:r>
        <w:t>D E C I D E :</w:t>
      </w:r>
    </w:p>
    <w:p w14:paraId="0C5731E1" w14:textId="77777777" w:rsidR="00D62AB2" w:rsidRDefault="00D62AB2" w:rsidP="00D62AB2">
      <w:pPr>
        <w:spacing w:line="100" w:lineRule="atLeast"/>
        <w:jc w:val="both"/>
      </w:pPr>
      <w:r>
        <w:t xml:space="preserve">Article 1er : La décision implicite de rejet, résultant du silence gardé par le ministre de </w:t>
      </w:r>
      <w:proofErr w:type="gramStart"/>
      <w:r>
        <w:t>l'éducation</w:t>
      </w:r>
      <w:proofErr w:type="gramEnd"/>
      <w:r>
        <w:t xml:space="preserve"> nationale sur la demande présentée le 17 décembre 2008 par la FEDERATION DES SYNDICATS GENERAUX DE L'EDUCATION NATIONALE, est annulée en tant que cette décision refuse d'abroger la limite d'âge instaurée par l'article 2 du décret du 12 mai 1981 relatif au recrutement de professeurs contractuels.</w:t>
      </w:r>
    </w:p>
    <w:p w14:paraId="08214D1F" w14:textId="77777777" w:rsidR="00D62AB2" w:rsidRDefault="00D62AB2" w:rsidP="00D62AB2">
      <w:pPr>
        <w:spacing w:line="100" w:lineRule="atLeast"/>
        <w:jc w:val="both"/>
      </w:pPr>
    </w:p>
    <w:p w14:paraId="00986393" w14:textId="77777777" w:rsidR="00D62AB2" w:rsidRDefault="00D62AB2" w:rsidP="00D62AB2">
      <w:pPr>
        <w:spacing w:line="100" w:lineRule="atLeast"/>
        <w:jc w:val="both"/>
        <w:rPr>
          <w:b/>
          <w:bCs/>
          <w:i/>
          <w:iCs/>
        </w:rPr>
      </w:pPr>
      <w:r>
        <w:rPr>
          <w:b/>
          <w:bCs/>
          <w:i/>
          <w:iCs/>
        </w:rPr>
        <w:t>§2) Exceptions</w:t>
      </w:r>
    </w:p>
    <w:p w14:paraId="7130B28D" w14:textId="77777777" w:rsidR="00D62AB2" w:rsidRDefault="00D62AB2" w:rsidP="00D62AB2">
      <w:pPr>
        <w:spacing w:line="100" w:lineRule="atLeast"/>
        <w:jc w:val="both"/>
        <w:rPr>
          <w:b/>
          <w:bCs/>
          <w:i/>
          <w:iCs/>
        </w:rPr>
      </w:pPr>
    </w:p>
    <w:p w14:paraId="743EB53F" w14:textId="77777777" w:rsidR="00D62AB2" w:rsidRDefault="00D62AB2" w:rsidP="00D62AB2">
      <w:pPr>
        <w:spacing w:line="100" w:lineRule="atLeast"/>
        <w:jc w:val="both"/>
      </w:pPr>
      <w:r>
        <w:rPr>
          <w:b/>
        </w:rPr>
        <w:t>Document 6 :</w:t>
      </w:r>
      <w:r>
        <w:t xml:space="preserve"> CE, Sect., 10 mai 1974, Denoyez et Chorques</w:t>
      </w:r>
    </w:p>
    <w:p w14:paraId="24BC182A" w14:textId="77777777" w:rsidR="00D62AB2" w:rsidRDefault="00D62AB2" w:rsidP="00D62AB2">
      <w:pPr>
        <w:spacing w:line="100" w:lineRule="atLeast"/>
        <w:jc w:val="both"/>
      </w:pPr>
    </w:p>
    <w:p w14:paraId="5EF7DAD9" w14:textId="77777777" w:rsidR="00D62AB2" w:rsidRDefault="00D62AB2" w:rsidP="00D62AB2">
      <w:pPr>
        <w:spacing w:line="100" w:lineRule="atLeast"/>
        <w:jc w:val="both"/>
      </w:pPr>
      <w:r>
        <w:t>Sur les conclusions des requêtes tendant à l'annulation des décisions du préfet de la Charente-Maritime :</w:t>
      </w:r>
    </w:p>
    <w:p w14:paraId="65939DA2" w14:textId="77777777" w:rsidR="00D62AB2" w:rsidRDefault="00D62AB2" w:rsidP="00D62AB2">
      <w:pPr>
        <w:spacing w:line="100" w:lineRule="atLeast"/>
        <w:jc w:val="both"/>
      </w:pPr>
    </w:p>
    <w:p w14:paraId="6B1331C8" w14:textId="77777777" w:rsidR="00D62AB2" w:rsidRDefault="00D62AB2" w:rsidP="00D62AB2">
      <w:pPr>
        <w:spacing w:line="100" w:lineRule="atLeast"/>
        <w:jc w:val="both"/>
      </w:pPr>
      <w:r>
        <w:t xml:space="preserve">Cons. que les sieurs Denoyez et Chorques, tous deux propriétaires dans l'île de Ré de résidences de vacances, ont demandé au préfet de la Charente-Maritime de prendre toutes dispositions pour que la régie départementale des passages d'eau, qui exploite le service de bacs reliant La </w:t>
      </w:r>
      <w:proofErr w:type="spellStart"/>
      <w:r>
        <w:t>Pallice</w:t>
      </w:r>
      <w:proofErr w:type="spellEnd"/>
      <w:r>
        <w:t xml:space="preserve"> à </w:t>
      </w:r>
      <w:proofErr w:type="spellStart"/>
      <w:r>
        <w:t>Sablanceaux</w:t>
      </w:r>
      <w:proofErr w:type="spellEnd"/>
      <w:r>
        <w:t xml:space="preserve"> (île de Ré), leur applique dorénavant non plus le tarif général mais soit le tarif réduit réservé aux habitants de l'île de Ré, soit, à défaut, le tarif consenti aux habitants de la Charente-Maritime ; que, par deux décisions, respectivement en date des 3 juin et 27 octobre 1971, le préfet a refusé de donner satisfaction à ces demandes ; que, par les jugements attaqués, le Tribunal administratif de Poitiers a rejeté les requêtes introduites contre ces décisions par les sieurs Denoyez et Chorques ;</w:t>
      </w:r>
    </w:p>
    <w:p w14:paraId="5A69AF01" w14:textId="77777777" w:rsidR="00D62AB2" w:rsidRDefault="00D62AB2" w:rsidP="00D62AB2">
      <w:pPr>
        <w:spacing w:line="100" w:lineRule="atLeast"/>
        <w:jc w:val="both"/>
      </w:pPr>
    </w:p>
    <w:p w14:paraId="236BA231" w14:textId="77777777" w:rsidR="00D62AB2" w:rsidRDefault="00D62AB2" w:rsidP="00D62AB2">
      <w:pPr>
        <w:spacing w:line="100" w:lineRule="atLeast"/>
        <w:jc w:val="both"/>
      </w:pPr>
      <w:r>
        <w:t xml:space="preserve">Cons. </w:t>
      </w:r>
      <w:proofErr w:type="gramStart"/>
      <w:r>
        <w:t>que</w:t>
      </w:r>
      <w:proofErr w:type="gramEnd"/>
      <w:r>
        <w:t xml:space="preserve"> le mérite des conclusions des requêtes est subordonné à la légalité des trois tarifs distincts institués, sur la liaison entre La </w:t>
      </w:r>
      <w:proofErr w:type="spellStart"/>
      <w:r>
        <w:t>Pallice</w:t>
      </w:r>
      <w:proofErr w:type="spellEnd"/>
      <w:r>
        <w:t xml:space="preserve"> et l'île de Ré, par le Conseil général de la Charente-Maritime et mis en vigueur par un arrêté préfectoral du 22 mai 1970 ;</w:t>
      </w:r>
    </w:p>
    <w:p w14:paraId="7339E9B2" w14:textId="77777777" w:rsidR="00D62AB2" w:rsidRDefault="00D62AB2" w:rsidP="00D62AB2">
      <w:pPr>
        <w:spacing w:line="100" w:lineRule="atLeast"/>
        <w:jc w:val="both"/>
      </w:pPr>
    </w:p>
    <w:p w14:paraId="0FC73ED6" w14:textId="77777777" w:rsidR="00D62AB2" w:rsidRDefault="00D62AB2" w:rsidP="00D62AB2">
      <w:pPr>
        <w:spacing w:line="100" w:lineRule="atLeast"/>
        <w:jc w:val="both"/>
      </w:pPr>
      <w:r>
        <w:t xml:space="preserve">Cons. </w:t>
      </w:r>
      <w:proofErr w:type="gramStart"/>
      <w:r>
        <w:t>que</w:t>
      </w:r>
      <w:proofErr w:type="gramEnd"/>
      <w:r>
        <w:t xml:space="preserve"> la fixation de tarifs différents applicables, pour un même service rendu, à diverses catégories d'usagers d'un service ou d'un ouvrage public implique, à moins qu'elle ne soit la conséquence nécessaire d'une loi, soit qu'il existe entre les usagers des différences de situation appréciables, soit qu'une nécessité d'intérêt général en rapport avec les conditions d'exploitation du service ou de l'ouvrage commande cette mesure ;</w:t>
      </w:r>
    </w:p>
    <w:p w14:paraId="69C2643E" w14:textId="77777777" w:rsidR="00D62AB2" w:rsidRDefault="00D62AB2" w:rsidP="00D62AB2">
      <w:pPr>
        <w:spacing w:line="100" w:lineRule="atLeast"/>
        <w:jc w:val="both"/>
      </w:pPr>
    </w:p>
    <w:p w14:paraId="618C89D2" w14:textId="77777777" w:rsidR="00D62AB2" w:rsidRDefault="00D62AB2" w:rsidP="00D62AB2">
      <w:pPr>
        <w:spacing w:line="100" w:lineRule="atLeast"/>
        <w:jc w:val="both"/>
      </w:pPr>
      <w:r>
        <w:t>Cons., d'une part, qu'il existe, entre les personnes résidant de manière permanente à l'île de Ré et les habitants du continent dans son ensemble, une différence de situation de nature à justifier les tarifs de passage réduits applicables aux habitant de l'île ; qu'en revanche, les personnes qui possèdent dans l'île de Ré une simple résidence d'agrément ne sauraient être regardées comme remplissant les conditions justifiant que leur soit appliqué un régime préférentiel ; que, par suite, les requérants ne sont pas fondés à revendiquer le bénéfice de ce régime ;</w:t>
      </w:r>
    </w:p>
    <w:p w14:paraId="67901B52" w14:textId="77777777" w:rsidR="00D62AB2" w:rsidRDefault="00D62AB2" w:rsidP="00D62AB2">
      <w:pPr>
        <w:spacing w:line="100" w:lineRule="atLeast"/>
        <w:jc w:val="both"/>
      </w:pPr>
    </w:p>
    <w:p w14:paraId="1E75176C" w14:textId="77777777" w:rsidR="00D62AB2" w:rsidRDefault="00D62AB2" w:rsidP="00D62AB2">
      <w:pPr>
        <w:spacing w:line="100" w:lineRule="atLeast"/>
        <w:jc w:val="both"/>
      </w:pPr>
      <w:r>
        <w:t>Cons. d'autre part, qu'il n'existe aucune nécessité d'intérêt général, ni aucune différence de situation justifiant qu'un traitement particulier soit accordé aux habitants de la Charente-Maritime autres que ceux de l'île de Ré ; que les charges financières supportées par le département pour l'aménagement de l'île et l'équipement du service des bacs ne sauraient, en tout état de cause, donner une base légale à l'application aux habitants de la Charente-Maritime d'un tarif de passage différent de celui applicable aux usagers qui résident hors de ce département ; que, par suite, le Conseil Général ne pouvait pas légalement édicter un tarif particulier pour les habitants de la Charente-Maritime utilisant le service de bacs pour se rendre à l'île de Ré ; que, par voie de conséquence, les sieurs Denoyez et Chorques ne sauraient utilement se prévaloir des dispositions illégales du tarif des passages pour en demander le bénéfice ; qu'ils ne sont, dès lors pas, sur ce point, fondés à se plaindre que, par les jugements attaqués, le Tribunal administratif de Poitiers a rejeté leurs requêtes;</w:t>
      </w:r>
    </w:p>
    <w:p w14:paraId="0D103CAA" w14:textId="77777777" w:rsidR="00D62AB2" w:rsidRDefault="00D62AB2" w:rsidP="00D62AB2">
      <w:pPr>
        <w:spacing w:line="100" w:lineRule="atLeast"/>
        <w:jc w:val="both"/>
      </w:pPr>
    </w:p>
    <w:p w14:paraId="42F4029A" w14:textId="77777777" w:rsidR="00D62AB2" w:rsidRDefault="00D62AB2" w:rsidP="00D62AB2">
      <w:pPr>
        <w:spacing w:line="100" w:lineRule="atLeast"/>
        <w:jc w:val="both"/>
      </w:pPr>
    </w:p>
    <w:p w14:paraId="2614944E" w14:textId="77777777" w:rsidR="00D62AB2" w:rsidRDefault="00D62AB2" w:rsidP="00D62AB2">
      <w:pPr>
        <w:spacing w:line="100" w:lineRule="atLeast"/>
        <w:jc w:val="both"/>
        <w:rPr>
          <w:b/>
        </w:rPr>
      </w:pPr>
    </w:p>
    <w:p w14:paraId="7E8A3D50" w14:textId="77777777" w:rsidR="00D62AB2" w:rsidRDefault="00D62AB2" w:rsidP="00D62AB2">
      <w:pPr>
        <w:spacing w:line="100" w:lineRule="atLeast"/>
        <w:jc w:val="both"/>
      </w:pPr>
      <w:r>
        <w:rPr>
          <w:b/>
        </w:rPr>
        <w:t xml:space="preserve">Document 7 : </w:t>
      </w:r>
      <w:r>
        <w:t xml:space="preserve">Cons. </w:t>
      </w:r>
      <w:proofErr w:type="spellStart"/>
      <w:r>
        <w:t>Const</w:t>
      </w:r>
      <w:proofErr w:type="spellEnd"/>
      <w:r>
        <w:t>. 7 janvier 1988, déc. n° 87-232 DC, Loi relative Mutualisation de la caisse nationale de crédit agricole</w:t>
      </w:r>
    </w:p>
    <w:p w14:paraId="185F231F" w14:textId="77777777" w:rsidR="00D62AB2" w:rsidRDefault="00D62AB2" w:rsidP="00D62AB2">
      <w:pPr>
        <w:spacing w:line="100" w:lineRule="atLeast"/>
        <w:jc w:val="both"/>
      </w:pPr>
    </w:p>
    <w:p w14:paraId="14D315E2" w14:textId="77777777" w:rsidR="00D62AB2" w:rsidRDefault="00D62AB2" w:rsidP="00D62AB2">
      <w:pPr>
        <w:spacing w:line="100" w:lineRule="atLeast"/>
        <w:jc w:val="both"/>
      </w:pPr>
    </w:p>
    <w:p w14:paraId="00FB4CBB" w14:textId="77777777" w:rsidR="00D62AB2" w:rsidRDefault="00D62AB2" w:rsidP="00D62AB2">
      <w:pPr>
        <w:spacing w:line="100" w:lineRule="atLeast"/>
        <w:jc w:val="both"/>
      </w:pPr>
      <w:r>
        <w:t xml:space="preserve">7. Considérant que les députés auteurs de l'une des saisines soutiennent que "la loi rompt gravement l'égalité entre les citoyens dès lors qu'elle réserve à </w:t>
      </w:r>
      <w:proofErr w:type="spellStart"/>
      <w:r>
        <w:t>quelques uns</w:t>
      </w:r>
      <w:proofErr w:type="spellEnd"/>
      <w:r>
        <w:t xml:space="preserve"> d'entre eux seulement la possibilité d'acquérir le capital de la Caisse nationale de Crédit agricole" ; qu'en effet, aussi longtemps que la caisse est demeurée dans le secteur public, c'est l'universalité des citoyens qui en a tiré bénéfice et que, dès lors, en cas de transfert au secteur privé, c'est l'universalité des citoyens qui doit avoir accès à son rachat ; que, toujours selon les auteurs de la saisine, l'article 34 de la Constitution, par ses termes mêmes, exclut la privatisation au profit de certaines catégories de personnes et la création "d'une catégorie particulière et fermée de ce qu'on pourrait appeler les acquéreurs des biens nationaux" ; qu'enfin, on ne saurait justifier les dispositions de la loi ainsi critiquées par la différence de situation qui existerait entre les caisses régionales de crédit agricole et les autres acquéreurs potentiels d'actions de la Caisse nationale car, ni en droit ni en fait, les caisses régionales de crédit agricole ne se distinguent de bien d'autres établissements bancaires ; </w:t>
      </w:r>
    </w:p>
    <w:p w14:paraId="43BB5C4E" w14:textId="77777777" w:rsidR="00D62AB2" w:rsidRDefault="00D62AB2" w:rsidP="00D62AB2">
      <w:pPr>
        <w:spacing w:line="100" w:lineRule="atLeast"/>
        <w:jc w:val="both"/>
      </w:pPr>
    </w:p>
    <w:p w14:paraId="05D0E2EC" w14:textId="77777777" w:rsidR="00D62AB2" w:rsidRDefault="00D62AB2" w:rsidP="00D62AB2">
      <w:pPr>
        <w:spacing w:line="100" w:lineRule="atLeast"/>
        <w:jc w:val="both"/>
      </w:pPr>
      <w:r>
        <w:t xml:space="preserve">8. Considérant que, dès lors, selon les auteurs de cette saisine, si la loi a pu légitimement réserver une petite partie des actions de la Caisse nationale à certains salariés, elle est en revanche contraire à la Constitution en ce qu'elle dénie le droit d'acquérir des actions de la nouvelle société à toutes personnes autres que celles qu'elle énumère ; </w:t>
      </w:r>
    </w:p>
    <w:p w14:paraId="399E3AB9" w14:textId="77777777" w:rsidR="00D62AB2" w:rsidRDefault="00D62AB2" w:rsidP="00D62AB2">
      <w:pPr>
        <w:spacing w:line="100" w:lineRule="atLeast"/>
        <w:jc w:val="both"/>
      </w:pPr>
      <w:r>
        <w:t xml:space="preserve">9. Considérant que, si l'article 34 de la Constitution attribue compétence au législateur pour fixer les règles concernant "les nationalisations d'entreprises et les transferts de propriété d'entreprises du secteur public au secteur privé", il ne lui impose, par lui-même, aucune modalité particulière pour la réalisation de ce transfert ; que, cependant, dans l'exercice de sa compétence, le législateur ne saurait méconnaître aucun principe ou règle de valeur constitutionnelle et notamment le principe d'égalité ; </w:t>
      </w:r>
    </w:p>
    <w:p w14:paraId="063F8D86" w14:textId="77777777" w:rsidR="00D62AB2" w:rsidRDefault="00D62AB2" w:rsidP="00D62AB2">
      <w:pPr>
        <w:spacing w:line="100" w:lineRule="atLeast"/>
        <w:jc w:val="both"/>
      </w:pPr>
    </w:p>
    <w:p w14:paraId="4F24F7A4" w14:textId="77777777" w:rsidR="00D62AB2" w:rsidRDefault="00D62AB2" w:rsidP="00D62AB2">
      <w:pPr>
        <w:spacing w:line="100" w:lineRule="atLeast"/>
        <w:jc w:val="both"/>
      </w:pPr>
      <w:r>
        <w:t>10. Considérant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avec l'objet de la loi qui l'établit ;</w:t>
      </w:r>
    </w:p>
    <w:p w14:paraId="583D1DA0" w14:textId="77777777" w:rsidR="00D62AB2" w:rsidRDefault="00D62AB2" w:rsidP="00D62AB2">
      <w:pPr>
        <w:spacing w:line="100" w:lineRule="atLeast"/>
        <w:jc w:val="both"/>
      </w:pPr>
    </w:p>
    <w:p w14:paraId="3BA6752B" w14:textId="77777777" w:rsidR="00D62AB2" w:rsidRDefault="00D62AB2" w:rsidP="00D62AB2">
      <w:pPr>
        <w:spacing w:line="100" w:lineRule="atLeast"/>
        <w:jc w:val="both"/>
      </w:pPr>
    </w:p>
    <w:p w14:paraId="7BE9B7A0" w14:textId="77777777" w:rsidR="00D62AB2" w:rsidRDefault="00D62AB2" w:rsidP="00D62AB2">
      <w:pPr>
        <w:spacing w:line="100" w:lineRule="atLeast"/>
        <w:jc w:val="both"/>
      </w:pPr>
      <w:r>
        <w:rPr>
          <w:b/>
        </w:rPr>
        <w:t>Document 8 :</w:t>
      </w:r>
      <w:r>
        <w:t xml:space="preserve"> CE, Sect., 18 déc. 2002, </w:t>
      </w:r>
      <w:proofErr w:type="spellStart"/>
      <w:r>
        <w:t>Duvignières</w:t>
      </w:r>
      <w:proofErr w:type="spellEnd"/>
    </w:p>
    <w:p w14:paraId="5036807E" w14:textId="77777777" w:rsidR="00D62AB2" w:rsidRDefault="00D62AB2" w:rsidP="00D62AB2">
      <w:pPr>
        <w:spacing w:line="100" w:lineRule="atLeast"/>
        <w:jc w:val="both"/>
      </w:pPr>
    </w:p>
    <w:p w14:paraId="55EC35EB" w14:textId="77777777" w:rsidR="00D62AB2" w:rsidRDefault="00D62AB2" w:rsidP="00D62AB2">
      <w:pPr>
        <w:spacing w:line="100" w:lineRule="atLeast"/>
        <w:jc w:val="both"/>
      </w:pPr>
      <w:r>
        <w:t xml:space="preserve">Considérant que la loi du 10 juillet 1991 relative à l'aide juridique prévoit que cette dernière est accordée sous condition de ressources ; que son article 5 dispose que sont exclues de l'appréciation des ressources les prestations familiales ainsi que certaines prestations à objet spécialisé selon des modalités prévues par décret en Conseil d'Etat ; que l'article 2 du décret du 19 décembre 1991, pris sur le fondement de ces dispositions, indique que sont exclues des ressources à prendre en compte pour apprécier le droit au bénéfice de l'aide juridictionnelle les prestations familiales énumérées à l'article L. 511-1 du code de la sécurité sociale ainsi que les prestations sociales à objet spécialisé énumérées à l'article 8 du décret du 12 décembre 1988 (...) ; que le premier de ces textes mentionne l'allocation de logement familiale mais non l'aide personnalisée au logement instituée par l'article L. 351-1 du code de la construction et de l'habitation ; que cette dernière prestation n'est pas non plus au nombre de celles que retient l'article 8 du décret du 12 décembre 1988 relatif à la détermination du revenu minimum d'insertion ; qu'il résulte ainsi de l'article 2 du décret du 19 décembre 1991 que l'aide personnalisée au logement doit, à la différence de l'allocation de logement familiale, être prise en compte parmi les ressources permettant d'apprécier le droit au bénéfice de l'aide juridictionnelle ; </w:t>
      </w:r>
    </w:p>
    <w:p w14:paraId="61DD5189" w14:textId="77777777" w:rsidR="00D62AB2" w:rsidRDefault="00D62AB2" w:rsidP="00D62AB2">
      <w:pPr>
        <w:spacing w:line="100" w:lineRule="atLeast"/>
        <w:jc w:val="both"/>
      </w:pPr>
    </w:p>
    <w:p w14:paraId="028DD475" w14:textId="77777777" w:rsidR="00D62AB2" w:rsidRDefault="00D62AB2" w:rsidP="00D62AB2">
      <w:pPr>
        <w:spacing w:line="100" w:lineRule="atLeast"/>
        <w:jc w:val="both"/>
      </w:pPr>
      <w:r>
        <w:t xml:space="preserve">Considérant que le principe d'égalité ne s'oppose pas à ce que l'autorité investie du pouvoir réglementaire règle de façon différente des situations différentes ni à ce qu'elle déroge à l'égalité pour des raisons d'intérêt général, pourvu que la différence de traitement qui en résulte soit, dans l'un comme l'autre cas, en rapport avec l'objet de la norme qui l'établit et ne soit pas manifestement disproportionnée au regard des différences de situation susceptibles de la justifier ; </w:t>
      </w:r>
    </w:p>
    <w:p w14:paraId="161C3E42" w14:textId="77777777" w:rsidR="00D62AB2" w:rsidRDefault="00D62AB2" w:rsidP="00D62AB2">
      <w:pPr>
        <w:spacing w:line="100" w:lineRule="atLeast"/>
        <w:jc w:val="both"/>
      </w:pPr>
    </w:p>
    <w:p w14:paraId="548D34D5" w14:textId="77777777" w:rsidR="00D62AB2" w:rsidRDefault="00D62AB2" w:rsidP="00D62AB2">
      <w:pPr>
        <w:spacing w:line="100" w:lineRule="atLeast"/>
        <w:jc w:val="both"/>
      </w:pPr>
      <w:r>
        <w:t xml:space="preserve">Considérant qu'il résulte des dispositions précitées de la loi du 10 juillet 1991 que le législateur a entendu, d'une part, exclure l'allocation de logement familiale des ressources à prendre en compte pour apprécier le droit au bénéfice de l'aide juridictionnelle, d'autre part, laisser au pouvoir réglementaire le soin de définir les modalités suivant lesquelles certaines prestations sociales à objet spécialisé doivent être retenues au même titre ; qu'ainsi, la possibilité de traiter de manière différente les personnes demandant le bénéfice de l'aide juridictionnelle, suivant qu'elles perçoivent l'aide personnalisée au logement ou l'allocation de logement familiale, résulte, dans son principe, de la loi ; </w:t>
      </w:r>
    </w:p>
    <w:p w14:paraId="4830AB77" w14:textId="77777777" w:rsidR="00D62AB2" w:rsidRDefault="00D62AB2" w:rsidP="00D62AB2">
      <w:pPr>
        <w:spacing w:line="100" w:lineRule="atLeast"/>
        <w:jc w:val="both"/>
      </w:pPr>
    </w:p>
    <w:p w14:paraId="0E2ED724" w14:textId="77777777" w:rsidR="00D62AB2" w:rsidRDefault="00D62AB2" w:rsidP="00D62AB2">
      <w:pPr>
        <w:spacing w:line="100" w:lineRule="atLeast"/>
        <w:jc w:val="both"/>
      </w:pPr>
      <w:r>
        <w:t>Considérant, toutefois, que l'aide personnalisée au logement et l'allocation de logement familiale, qui sont exclusives l'une de l'autre, poursuivent des finalités sociales similaires ; qu'en outre, l'attribution à une famille de la première ou de la seconde dépend essentiellement du régime de propriété du logement occupé et de l'existence ou non d'une convention entre le bailleur et l'Etat ; que, par suite, le décret contesté ne pouvait, sans créer une différence de traitement manifestement disproportionnée par rapport aux différences de situation séparant les demandeurs d'aide juridictionnelle suivant qu'ils sont titulaires de l'une ou de l'autre de ces prestations, inclure l'intégralité de l'aide personnalisée au logement dans les ressources à prendre en compte pour apprécier leur droit à l'aide juridictionnelle ; qu'ainsi, le décret du 19 décembre 1991 méconnaît, sur ce point, le principe d'égalité ; que, dès lors, Mme X est fondée à demander l'annulation de la décision contenue dans la lettre du 23 février 2001 par laquelle le garde des sceaux a refusé de proposer l'abrogation partielle de ce décret ;</w:t>
      </w:r>
    </w:p>
    <w:p w14:paraId="36002A90" w14:textId="77777777" w:rsidR="00D62AB2" w:rsidRDefault="00D62AB2" w:rsidP="00D62AB2">
      <w:pPr>
        <w:spacing w:line="100" w:lineRule="atLeast"/>
        <w:jc w:val="both"/>
      </w:pPr>
    </w:p>
    <w:p w14:paraId="3F6DAFC7" w14:textId="77777777" w:rsidR="00D62AB2" w:rsidRDefault="00D62AB2" w:rsidP="00D62AB2">
      <w:pPr>
        <w:spacing w:line="100" w:lineRule="atLeast"/>
        <w:jc w:val="both"/>
      </w:pPr>
    </w:p>
    <w:p w14:paraId="6DFD3A7C" w14:textId="77777777" w:rsidR="00D62AB2" w:rsidRDefault="00D62AB2" w:rsidP="00D62AB2">
      <w:pPr>
        <w:spacing w:after="200"/>
        <w:jc w:val="both"/>
        <w:rPr>
          <w:sz w:val="22"/>
          <w:szCs w:val="22"/>
        </w:rPr>
      </w:pPr>
      <w:r>
        <w:rPr>
          <w:b/>
          <w:color w:val="000000"/>
        </w:rPr>
        <w:t xml:space="preserve">Document 9 : </w:t>
      </w:r>
      <w:r>
        <w:rPr>
          <w:color w:val="000000"/>
        </w:rPr>
        <w:t>CE, Sect., 20 novembre 1964, Ville de Nanterre</w:t>
      </w:r>
    </w:p>
    <w:p w14:paraId="26B9950B" w14:textId="77777777" w:rsidR="00D62AB2" w:rsidRDefault="00D62AB2" w:rsidP="00D62AB2">
      <w:pPr>
        <w:pStyle w:val="NormalWeb"/>
        <w:shd w:val="clear" w:color="auto" w:fill="FFFFFF"/>
        <w:spacing w:before="0" w:after="0" w:line="300" w:lineRule="atLeast"/>
        <w:jc w:val="both"/>
        <w:rPr>
          <w:sz w:val="22"/>
          <w:szCs w:val="22"/>
        </w:rPr>
      </w:pPr>
      <w:r>
        <w:rPr>
          <w:sz w:val="22"/>
          <w:szCs w:val="22"/>
        </w:rPr>
        <w:t xml:space="preserve">Cons. </w:t>
      </w:r>
      <w:proofErr w:type="gramStart"/>
      <w:r>
        <w:rPr>
          <w:sz w:val="22"/>
          <w:szCs w:val="22"/>
        </w:rPr>
        <w:t>que</w:t>
      </w:r>
      <w:proofErr w:type="gramEnd"/>
      <w:r>
        <w:rPr>
          <w:sz w:val="22"/>
          <w:szCs w:val="22"/>
        </w:rPr>
        <w:t>, pour déclarer illégale la création par la ville de Nanterre d’un cabinet dentaire municipal ouvert sans réserve à la généralité de la clientèle locale, le Tribunal administratif s’est fondé sur ce que l’insuffisance de l’initiative privée n’était établie qu’</w:t>
      </w:r>
      <w:proofErr w:type="spellStart"/>
      <w:r>
        <w:rPr>
          <w:sz w:val="22"/>
          <w:szCs w:val="22"/>
        </w:rPr>
        <w:t>a</w:t>
      </w:r>
      <w:proofErr w:type="spellEnd"/>
      <w:r>
        <w:rPr>
          <w:sz w:val="22"/>
          <w:szCs w:val="22"/>
        </w:rPr>
        <w:t xml:space="preserve"> l’égard de la partie économiquement la plus défavorisée de la population et que l’intervention de la collectivité publique devait donc trouver sa limite dans celle de l’étendue du besoin particulier qui l’avait provoquée ;</w:t>
      </w:r>
    </w:p>
    <w:p w14:paraId="38979359" w14:textId="77777777" w:rsidR="00D62AB2" w:rsidRDefault="00D62AB2" w:rsidP="00D62AB2">
      <w:pPr>
        <w:pStyle w:val="NormalWeb"/>
        <w:shd w:val="clear" w:color="auto" w:fill="FFFFFF"/>
        <w:spacing w:before="0" w:after="0" w:line="300" w:lineRule="atLeast"/>
        <w:jc w:val="both"/>
        <w:rPr>
          <w:sz w:val="22"/>
          <w:szCs w:val="22"/>
        </w:rPr>
      </w:pPr>
      <w:r>
        <w:rPr>
          <w:sz w:val="22"/>
          <w:szCs w:val="22"/>
        </w:rPr>
        <w:t>Cons. qu’il résulte de l’instruction qu’en créant en 1919 au dispensaire municipal un cabinet dentaire ouvert à l’ensemble de la population locale, la ville de Nanterre a eu pour but, non pas tant de contribuer par ce moyen à l’exécution des obligations d’assistance qui lui incombent en vertu de la loi du 15 juillet 1893, alors surtout qu’à l’époque le règlement départemental d’aide médicale réservait à certains hôpi</w:t>
      </w:r>
      <w:r>
        <w:rPr>
          <w:sz w:val="22"/>
          <w:szCs w:val="22"/>
        </w:rPr>
        <w:softHyphen/>
        <w:t>taux publics l’administration des soins dentaires aux bénéficiaires de l’assistance médicale gratuite, mais essentiellement de permettre à la population locale, composée en grande majorité de salariés modestes, de ne pas renoncer aux soins dentaires malgré la carence de l’équipement hospitalier et le nombre insuffisant de praticiens privés, alors surtout que ceux-ci pratiquaient en fait, pour la plupart du moins, des tarifs supérieurs aux tarifs de responsabilité de la Sécurité sociale ; que cette initia</w:t>
      </w:r>
      <w:r>
        <w:rPr>
          <w:sz w:val="22"/>
          <w:szCs w:val="22"/>
        </w:rPr>
        <w:softHyphen/>
        <w:t>tive répondait, dans cette ville et à l’époque envisagée, à un besoin de la population et, par suite, à un intérêt public local ;</w:t>
      </w:r>
    </w:p>
    <w:p w14:paraId="29FC9AB2" w14:textId="77777777" w:rsidR="00D62AB2" w:rsidRDefault="00D62AB2" w:rsidP="00D62AB2">
      <w:pPr>
        <w:pStyle w:val="NormalWeb"/>
        <w:shd w:val="clear" w:color="auto" w:fill="FFFFFF"/>
        <w:spacing w:before="0" w:after="0" w:line="300" w:lineRule="atLeast"/>
        <w:jc w:val="both"/>
        <w:rPr>
          <w:sz w:val="22"/>
          <w:szCs w:val="22"/>
        </w:rPr>
      </w:pPr>
      <w:r>
        <w:rPr>
          <w:sz w:val="22"/>
          <w:szCs w:val="22"/>
        </w:rPr>
        <w:t>Cons. d’autre part, qu’en ne limitant pas l’accès dudit cabinet municipal aux seuls assurés sociaux, la ville de Nanterre s’est bornée à appliquer le principe d’égalité qui régit le fonctionnement des services publics à l’égard des usagers ; qu’en effet, si ledit principe ne s’oppose pas à ce que les usagers d’un service public de la nature de celui dont s’agit supportent des tarifs différents ou même bénéficient éventuellement de la gratuité complète selon qu’ils sont ou non assurés sociaux, ou bénéficiaires de l’assistance médicale gratuite, il implique, en revanche, nécessairement que l’accès au service public communal ne soit pas interdit à un habitant de la commune pour le seul motif que ses revenus lui permettent de recourir aux soins de praticiens privés ;</w:t>
      </w:r>
    </w:p>
    <w:p w14:paraId="5AC75E94" w14:textId="77777777" w:rsidR="00D62AB2" w:rsidRDefault="00D62AB2" w:rsidP="00D62AB2">
      <w:pPr>
        <w:pStyle w:val="NormalWeb"/>
        <w:shd w:val="clear" w:color="auto" w:fill="FFFFFF"/>
        <w:spacing w:before="0" w:after="0" w:line="300" w:lineRule="atLeast"/>
        <w:jc w:val="both"/>
        <w:rPr>
          <w:sz w:val="22"/>
          <w:szCs w:val="22"/>
        </w:rPr>
      </w:pPr>
      <w:r>
        <w:rPr>
          <w:sz w:val="22"/>
          <w:szCs w:val="22"/>
        </w:rPr>
        <w:t xml:space="preserve">Cons. </w:t>
      </w:r>
      <w:proofErr w:type="gramStart"/>
      <w:r>
        <w:rPr>
          <w:sz w:val="22"/>
          <w:szCs w:val="22"/>
        </w:rPr>
        <w:t>enfin</w:t>
      </w:r>
      <w:proofErr w:type="gramEnd"/>
      <w:r>
        <w:rPr>
          <w:sz w:val="22"/>
          <w:szCs w:val="22"/>
        </w:rPr>
        <w:t xml:space="preserve"> qu’il ne résulte pas de l’instruction que les conditions de fonctionne</w:t>
      </w:r>
      <w:r>
        <w:rPr>
          <w:sz w:val="22"/>
          <w:szCs w:val="22"/>
        </w:rPr>
        <w:softHyphen/>
        <w:t>ment du cabinet municipal et notamment le fait qu’il effectuait toutes les opérations et tous les travaux de prothèse relevant de la profession dentaire, y compris ceux qui ne sont pas pris en charge par la Sécurité sociale, aient été de nature à détourner l’activité dudit cabinet de son objet d’intérêt public ni, par suite, à porter une concurrence illégale aux chirurgiens-dentistes de la ville ;</w:t>
      </w:r>
    </w:p>
    <w:p w14:paraId="2D842B49" w14:textId="77777777" w:rsidR="00D62AB2" w:rsidRDefault="00D62AB2" w:rsidP="00D62AB2">
      <w:pPr>
        <w:pStyle w:val="NormalWeb"/>
        <w:shd w:val="clear" w:color="auto" w:fill="FFFFFF"/>
        <w:spacing w:before="0" w:after="0" w:line="300" w:lineRule="atLeast"/>
        <w:jc w:val="both"/>
        <w:rPr>
          <w:b/>
          <w:color w:val="000000"/>
        </w:rPr>
      </w:pPr>
      <w:r>
        <w:rPr>
          <w:sz w:val="22"/>
          <w:szCs w:val="22"/>
        </w:rPr>
        <w:t xml:space="preserve">Cons. </w:t>
      </w:r>
      <w:proofErr w:type="gramStart"/>
      <w:r>
        <w:rPr>
          <w:sz w:val="22"/>
          <w:szCs w:val="22"/>
        </w:rPr>
        <w:t>qu’il</w:t>
      </w:r>
      <w:proofErr w:type="gramEnd"/>
      <w:r>
        <w:rPr>
          <w:sz w:val="22"/>
          <w:szCs w:val="22"/>
        </w:rPr>
        <w:t xml:space="preserve"> résulte de ce qui précède que la ville de Nanterre est fondée à soutenir que c’est à tort que, par le jugement attaqué, le Tribunal administratif a déclaré que la création du cabinet dentaire municipal était illégale, en tant que ledit cabinet était ouvert sans réserve à la généralité de la clientèle locale :</w:t>
      </w:r>
    </w:p>
    <w:p w14:paraId="427D48FD" w14:textId="77777777" w:rsidR="00D62AB2" w:rsidRDefault="00D62AB2" w:rsidP="00D62AB2">
      <w:pPr>
        <w:spacing w:after="200"/>
        <w:jc w:val="both"/>
        <w:rPr>
          <w:b/>
          <w:color w:val="000000"/>
        </w:rPr>
      </w:pPr>
    </w:p>
    <w:p w14:paraId="5B65F7F6" w14:textId="77777777" w:rsidR="00D62AB2" w:rsidRDefault="00D62AB2" w:rsidP="00D62AB2">
      <w:pPr>
        <w:spacing w:after="200"/>
        <w:jc w:val="both"/>
        <w:rPr>
          <w:color w:val="000000"/>
        </w:rPr>
      </w:pPr>
      <w:r>
        <w:rPr>
          <w:b/>
          <w:color w:val="000000"/>
        </w:rPr>
        <w:t xml:space="preserve">Document 10 : </w:t>
      </w:r>
      <w:r>
        <w:rPr>
          <w:color w:val="000000"/>
        </w:rPr>
        <w:t>CE, 13 mai 1994, Commune de Dreux</w:t>
      </w:r>
    </w:p>
    <w:p w14:paraId="71E68157" w14:textId="77777777" w:rsidR="00D62AB2" w:rsidRDefault="00D62AB2" w:rsidP="00D62AB2">
      <w:pPr>
        <w:spacing w:after="200"/>
        <w:jc w:val="both"/>
        <w:rPr>
          <w:color w:val="000000"/>
        </w:rPr>
      </w:pPr>
    </w:p>
    <w:p w14:paraId="32FCD2CE" w14:textId="77777777" w:rsidR="00D62AB2" w:rsidRDefault="00D62AB2" w:rsidP="00D62AB2">
      <w:pPr>
        <w:spacing w:after="200"/>
        <w:jc w:val="both"/>
        <w:rPr>
          <w:color w:val="000000"/>
        </w:rPr>
      </w:pPr>
      <w:r>
        <w:rPr>
          <w:color w:val="000000"/>
        </w:rPr>
        <w:t>Considérant que, par une délibération du 18 décembre 1984, le conseil municipal de Dreux a décidé qu'à compter du 1er janvier 1985, l'école de musique ne pourrait accueillir que les enfants dont les parents ont leur domicile effectif à Dreux, ainsi que les adultes habitant cette ville, et que seuls pourraient bénéficier de dérogations les élèves non domiciliés à Dreux pour lesquels des financements extérieurs complémentaires seraient assurés ;</w:t>
      </w:r>
    </w:p>
    <w:p w14:paraId="282FE767" w14:textId="77777777" w:rsidR="00D62AB2" w:rsidRDefault="00D62AB2" w:rsidP="00D62AB2">
      <w:pPr>
        <w:spacing w:after="200"/>
        <w:jc w:val="both"/>
        <w:rPr>
          <w:color w:val="000000"/>
        </w:rPr>
      </w:pPr>
      <w:r>
        <w:rPr>
          <w:color w:val="000000"/>
        </w:rPr>
        <w:t>Considérant que, s'agissant d'un service public non obligatoire, créé par une commune, dont l'objet n'exclut pas que son accès puisse être réservé à certaines catégories d'usagers, le principe d'égalité des usagers du service public ne fait pas obstacle à ce que le conseil municipal limite l'accès à ce service en le réservant à des élèves ayant un lien particulier avec la commune et se trouvant de ce fait dans une situation différente de l'ensemble des autres usagers potentiels du service ; que toutefois, le conseil municipal de Dreux n'a pu légalement limiter, comme il l'a fait, l'accès de l'école de musique aux personnes domiciliées ou habitant à Dreux, en refusant d'accueillir des élèves qui, parce qu'ils ont à Dreux le lieu de leur travail, ou parce qu'ils sont scolarisés dans la commune, ont avec celle-ci un lien suffisant ;</w:t>
      </w:r>
    </w:p>
    <w:p w14:paraId="50CD2798" w14:textId="77777777" w:rsidR="00D62AB2" w:rsidRDefault="00D62AB2" w:rsidP="00D62AB2">
      <w:pPr>
        <w:spacing w:after="200"/>
        <w:jc w:val="both"/>
        <w:rPr>
          <w:color w:val="000000"/>
        </w:rPr>
      </w:pPr>
      <w:r>
        <w:rPr>
          <w:color w:val="000000"/>
        </w:rPr>
        <w:t>Considérant qu'il résulte de ce qui précède que la commune de Dreux n'est pas fondée à soutenir que c'est à tort que, par le jugement attaqué, le tribunal administratif d'Orléans a annulé la délibération susvisée du conseil municipal de Dreux ;</w:t>
      </w:r>
    </w:p>
    <w:p w14:paraId="6974CF81" w14:textId="77777777" w:rsidR="00D62AB2" w:rsidRDefault="00D62AB2" w:rsidP="00D62AB2">
      <w:pPr>
        <w:spacing w:after="200"/>
        <w:jc w:val="both"/>
        <w:rPr>
          <w:color w:val="000000"/>
        </w:rPr>
      </w:pPr>
    </w:p>
    <w:p w14:paraId="4149672C" w14:textId="77777777" w:rsidR="00D62AB2" w:rsidRDefault="00D62AB2" w:rsidP="00D62AB2">
      <w:pPr>
        <w:spacing w:after="200"/>
        <w:jc w:val="both"/>
        <w:rPr>
          <w:color w:val="000000"/>
        </w:rPr>
      </w:pPr>
    </w:p>
    <w:p w14:paraId="3807DE9F" w14:textId="77777777" w:rsidR="00D62AB2" w:rsidRDefault="00D62AB2" w:rsidP="00D62AB2">
      <w:pPr>
        <w:spacing w:after="200"/>
        <w:jc w:val="both"/>
        <w:rPr>
          <w:color w:val="000000"/>
        </w:rPr>
      </w:pPr>
      <w:r>
        <w:rPr>
          <w:b/>
          <w:color w:val="000000"/>
        </w:rPr>
        <w:t xml:space="preserve">Document 11 : </w:t>
      </w:r>
      <w:r>
        <w:rPr>
          <w:color w:val="000000"/>
        </w:rPr>
        <w:t>CE, Sect., 29 décembre 1997, Commune de Gennevilliers</w:t>
      </w:r>
    </w:p>
    <w:p w14:paraId="20F45939" w14:textId="77777777" w:rsidR="00D62AB2" w:rsidRDefault="00D62AB2" w:rsidP="00D62AB2">
      <w:pPr>
        <w:spacing w:after="200"/>
        <w:jc w:val="both"/>
        <w:rPr>
          <w:color w:val="000000"/>
        </w:rPr>
      </w:pPr>
    </w:p>
    <w:p w14:paraId="590FA2EB" w14:textId="77777777" w:rsidR="00D62AB2" w:rsidRDefault="00D62AB2" w:rsidP="00D62AB2">
      <w:pPr>
        <w:spacing w:after="200"/>
        <w:jc w:val="both"/>
        <w:rPr>
          <w:color w:val="000000"/>
        </w:rPr>
      </w:pPr>
      <w:r>
        <w:rPr>
          <w:color w:val="000000"/>
        </w:rPr>
        <w:t>Considérant que, par une délibération du 23 juin 1989, le conseil municipal de Gennevilliers a fixé les droits d'inscription au conservatoire municipal de musique en différenciant leur montant en fonction des ressources des familles des élèves et du nombre de personnes vivant au foyer ;</w:t>
      </w:r>
    </w:p>
    <w:p w14:paraId="47E9E896" w14:textId="77777777" w:rsidR="00D62AB2" w:rsidRDefault="00D62AB2" w:rsidP="00D62AB2">
      <w:pPr>
        <w:spacing w:after="200"/>
        <w:jc w:val="both"/>
        <w:rPr>
          <w:b/>
          <w:color w:val="000000"/>
        </w:rPr>
      </w:pPr>
      <w:r>
        <w:rPr>
          <w:color w:val="000000"/>
        </w:rPr>
        <w:t>Considérant qu'il ressort des pièces du dossier que le fonctionnement du conservatoire de musique de Gennevilliers constitue un service public municipal administratif à caractère facultatif ; qu'eu égard à l'intérêt général qui s'attache à ce que le conservatoire de musique puisse être fréquenté par les élèves qui le souhaitent, sans distinction selon leurs possibilités financières, le conseil municipal de Gennevilliers a pu, sans méconnaître le principe d'égalité entre les usagers du service public, fixer des droits d'inscription différents selon les ressources des familles, dès lors notamment que les droits les plus élevés restent inférieurs au coût par élève du fonctionnement de l'école ; que la commune de Gennevilliers est, par suite, fondée à soutenir que c'est à tort que, par le jugement attaqué, le tribunal administratif, retenant l'unique moyen du déféré préfectoral tiré de la méconnaissance du principe d'égalité, a annulé la délibération litigieuse ;</w:t>
      </w:r>
    </w:p>
    <w:p w14:paraId="738CACD0" w14:textId="77777777" w:rsidR="00D62AB2" w:rsidRDefault="00D62AB2" w:rsidP="00D62AB2">
      <w:pPr>
        <w:spacing w:after="200"/>
        <w:jc w:val="both"/>
        <w:rPr>
          <w:b/>
          <w:color w:val="000000"/>
        </w:rPr>
      </w:pPr>
    </w:p>
    <w:p w14:paraId="76CE9E19" w14:textId="77777777" w:rsidR="00D62AB2" w:rsidRDefault="00D62AB2" w:rsidP="00D62AB2">
      <w:pPr>
        <w:spacing w:after="200"/>
        <w:jc w:val="both"/>
        <w:rPr>
          <w:b/>
          <w:color w:val="000000"/>
        </w:rPr>
      </w:pPr>
    </w:p>
    <w:p w14:paraId="6F940CB5" w14:textId="77777777" w:rsidR="00D62AB2" w:rsidRDefault="00D62AB2" w:rsidP="00D62AB2">
      <w:pPr>
        <w:spacing w:after="200"/>
        <w:jc w:val="both"/>
        <w:rPr>
          <w:color w:val="000000"/>
        </w:rPr>
      </w:pPr>
      <w:r>
        <w:rPr>
          <w:b/>
          <w:color w:val="000000"/>
        </w:rPr>
        <w:t xml:space="preserve">Document 12 : </w:t>
      </w:r>
      <w:r>
        <w:rPr>
          <w:color w:val="000000"/>
        </w:rPr>
        <w:t xml:space="preserve">CE, </w:t>
      </w:r>
      <w:proofErr w:type="spellStart"/>
      <w:r>
        <w:rPr>
          <w:color w:val="000000"/>
        </w:rPr>
        <w:t>Ass</w:t>
      </w:r>
      <w:proofErr w:type="spellEnd"/>
      <w:r>
        <w:rPr>
          <w:color w:val="000000"/>
        </w:rPr>
        <w:t>., 28 mars 1997, Société Baxter et autres</w:t>
      </w:r>
    </w:p>
    <w:p w14:paraId="1DB85DB0" w14:textId="77777777" w:rsidR="00D62AB2" w:rsidRDefault="00D62AB2" w:rsidP="00D62AB2">
      <w:pPr>
        <w:spacing w:after="200"/>
        <w:jc w:val="both"/>
        <w:rPr>
          <w:color w:val="000000"/>
        </w:rPr>
      </w:pPr>
    </w:p>
    <w:p w14:paraId="44EEEC00" w14:textId="77777777" w:rsidR="00D62AB2" w:rsidRDefault="00D62AB2" w:rsidP="00D62AB2">
      <w:pPr>
        <w:spacing w:after="200"/>
        <w:jc w:val="both"/>
        <w:rPr>
          <w:color w:val="000000"/>
        </w:rPr>
      </w:pPr>
      <w:r>
        <w:rPr>
          <w:color w:val="000000"/>
        </w:rPr>
        <w:t>Considérant que ni l'institution de trois contributions différentes, ni l'existence de règles d'exonérations spécifiques à chacune d'entre elles ne méconnaissent le principe d'égalité devant l'impôt, dès lors que toutes les entreprises exploitant des spécialités pharmaceutiques sont soumises dans les mêmes conditions à chacune des trois contributions ; qu'eu égard à l'objet du prélèvement exceptionnel qu'elle institue, l'ordonnance pouvait, sans méconnaître le principe d'égalité, exonérer des deux premières contributions les entreprises dont le chiffre d'affaires hors taxe réalisé en France en 1995 au titre des spécialités pharmaceutiques remboursables et des médicaments agréés à l'usage des collectivités est inférieur à 100 millions de francs, sauf si elles sont filiales à 50 pour 100 au moins d'une entreprise ou d'un groupe dont le chiffre d'affaires consolidé réalisé en France au titre de ces mêmes spécialités dépasse cette limite ;</w:t>
      </w:r>
    </w:p>
    <w:p w14:paraId="1CE08548" w14:textId="77777777" w:rsidR="00D62AB2" w:rsidRDefault="00D62AB2" w:rsidP="00D62AB2">
      <w:pPr>
        <w:spacing w:after="200"/>
        <w:jc w:val="both"/>
        <w:rPr>
          <w:color w:val="000000"/>
        </w:rPr>
      </w:pPr>
      <w:r>
        <w:rPr>
          <w:color w:val="000000"/>
        </w:rPr>
        <w:t>Considérant que le principe d'égalité n'implique pas que des entreprises se trouvant dans des situations différentes doivent être soumises à des régimes différents ; qu'ainsi, à supposer que certaines entreprises assujetties se fussent trouvées dans une situation différente du fait de la passation d'une convention avec les pouvoirs publics en application de l'</w:t>
      </w:r>
      <w:proofErr w:type="spellStart"/>
      <w:r>
        <w:rPr>
          <w:color w:val="000000"/>
        </w:rPr>
        <w:t>accord cadre</w:t>
      </w:r>
      <w:proofErr w:type="spellEnd"/>
      <w:r>
        <w:rPr>
          <w:color w:val="000000"/>
        </w:rPr>
        <w:t xml:space="preserve"> conclu le 25 janvier 1994 entre l'Etat et le syndicat national de l'industrie pharmaceutique l'ordonnance pouvait, sans méconnaître le principe d'égalité, les assujettir aux trois contributions dans les mêmes conditions que les entreprises non signataires d'une telle convention ;</w:t>
      </w:r>
    </w:p>
    <w:p w14:paraId="6C65E75B" w14:textId="77777777" w:rsidR="00D62AB2" w:rsidRDefault="00D62AB2" w:rsidP="00D62AB2">
      <w:pPr>
        <w:spacing w:after="200"/>
        <w:jc w:val="both"/>
        <w:rPr>
          <w:b/>
          <w:color w:val="000000"/>
        </w:rPr>
      </w:pPr>
      <w:r>
        <w:rPr>
          <w:color w:val="000000"/>
        </w:rPr>
        <w:t>Considérant que l'article 12 de l'ordonnance attaquée assujettit aux trois contributions exceptionnelles qu'il institue les entreprises assurant l'exploitation d'une ou plusieurs spécialités pharmaceutiques au sens de l'article L. 596 du code de la santé publique ; qu'il ressort des dispositions de ce dernier texte que sont ainsi visés la totalité des établissements autorisés à exploiter des spécialités pharmaceutiques en France ; que, par suite, le moyen tiré de ce que l'article 12 susmentionné méconnaîtrait le principe d'égalité en ce qu'il établirait une distinction selon que les spécialités sont vendues par des laboratoires installés à l'étranger ou en France manque en fait ;</w:t>
      </w:r>
    </w:p>
    <w:p w14:paraId="1C6983D9" w14:textId="77777777" w:rsidR="00D62AB2" w:rsidRDefault="00D62AB2" w:rsidP="00D62AB2">
      <w:pPr>
        <w:spacing w:line="100" w:lineRule="atLeast"/>
        <w:jc w:val="both"/>
        <w:rPr>
          <w:color w:val="000000"/>
        </w:rPr>
      </w:pPr>
      <w:r>
        <w:rPr>
          <w:b/>
          <w:color w:val="000000"/>
        </w:rPr>
        <w:t>Document 13 :</w:t>
      </w:r>
      <w:r>
        <w:rPr>
          <w:color w:val="000000"/>
        </w:rPr>
        <w:t xml:space="preserve"> Cons. </w:t>
      </w:r>
      <w:proofErr w:type="spellStart"/>
      <w:r>
        <w:rPr>
          <w:color w:val="000000"/>
        </w:rPr>
        <w:t>Const</w:t>
      </w:r>
      <w:proofErr w:type="spellEnd"/>
      <w:r>
        <w:rPr>
          <w:color w:val="000000"/>
        </w:rPr>
        <w:t>., 29 décembre 2003, déc. n° 2003-489 DC, Loi de finances pour 2004</w:t>
      </w:r>
    </w:p>
    <w:p w14:paraId="16F3E3FE" w14:textId="77777777" w:rsidR="00D62AB2" w:rsidRDefault="00D62AB2" w:rsidP="00D62AB2">
      <w:pPr>
        <w:spacing w:line="100" w:lineRule="atLeast"/>
        <w:jc w:val="both"/>
        <w:rPr>
          <w:color w:val="000000"/>
        </w:rPr>
      </w:pPr>
    </w:p>
    <w:p w14:paraId="257E37AE" w14:textId="77777777" w:rsidR="00D62AB2" w:rsidRDefault="00D62AB2" w:rsidP="00D62AB2">
      <w:pPr>
        <w:spacing w:line="100" w:lineRule="atLeast"/>
        <w:jc w:val="both"/>
        <w:rPr>
          <w:color w:val="000000"/>
        </w:rPr>
      </w:pPr>
      <w:r>
        <w:rPr>
          <w:color w:val="000000"/>
        </w:rPr>
        <w:t>37. Considérant, en premier lieu, qu'aux termes de l'article 6 de la Déclaration des droits de l'homme et du citoyen : " La loi est l'expression de la volonté générale. Tous les citoyens ont droit de concourir personnellement, ou par leurs représentants, à sa formation. Elle doit être la même pour tous, soit qu'elle protège, soit qu'elle punisse " ; que si, en règle générale, le principe d'égalité impose de traiter de la même façon des personnes qui se trouvent dans la même situation, il n'en résulte pas pour autant qu'il oblige à traiter différemment des personnes se trouvant dans des situations différentes ;</w:t>
      </w:r>
    </w:p>
    <w:p w14:paraId="762ACEB9" w14:textId="77777777" w:rsidR="00D62AB2" w:rsidRDefault="00D62AB2" w:rsidP="00D62AB2">
      <w:pPr>
        <w:spacing w:line="100" w:lineRule="atLeast"/>
        <w:jc w:val="both"/>
        <w:rPr>
          <w:color w:val="000000"/>
        </w:rPr>
      </w:pPr>
    </w:p>
    <w:p w14:paraId="6349781B" w14:textId="77777777" w:rsidR="00D62AB2" w:rsidRDefault="00D62AB2" w:rsidP="00D62AB2">
      <w:pPr>
        <w:spacing w:line="100" w:lineRule="atLeast"/>
        <w:jc w:val="both"/>
        <w:rPr>
          <w:sz w:val="26"/>
          <w:szCs w:val="26"/>
        </w:rPr>
      </w:pPr>
      <w:r>
        <w:rPr>
          <w:b/>
          <w:color w:val="000000"/>
          <w:sz w:val="26"/>
          <w:szCs w:val="26"/>
          <w:u w:val="single"/>
        </w:rPr>
        <w:t>II) Neutralité de l'agent</w:t>
      </w:r>
    </w:p>
    <w:p w14:paraId="1491890A" w14:textId="77777777" w:rsidR="00D62AB2" w:rsidRDefault="00D62AB2" w:rsidP="00D62AB2">
      <w:pPr>
        <w:spacing w:line="100" w:lineRule="atLeast"/>
        <w:jc w:val="both"/>
        <w:rPr>
          <w:sz w:val="26"/>
          <w:szCs w:val="26"/>
        </w:rPr>
      </w:pPr>
    </w:p>
    <w:p w14:paraId="2E430752" w14:textId="77777777" w:rsidR="00D62AB2" w:rsidRDefault="00D62AB2" w:rsidP="00D62AB2">
      <w:pPr>
        <w:spacing w:line="100" w:lineRule="atLeast"/>
        <w:jc w:val="both"/>
      </w:pPr>
      <w:r>
        <w:rPr>
          <w:b/>
        </w:rPr>
        <w:t xml:space="preserve">Document 14 : </w:t>
      </w:r>
      <w:r>
        <w:t xml:space="preserve">CAA Douai, 17 décembre 2015, n°14DA01109 </w:t>
      </w:r>
    </w:p>
    <w:p w14:paraId="5C7CA197" w14:textId="77777777" w:rsidR="00D62AB2" w:rsidRDefault="00D62AB2" w:rsidP="00D62AB2">
      <w:pPr>
        <w:spacing w:line="100" w:lineRule="atLeast"/>
        <w:jc w:val="both"/>
      </w:pPr>
    </w:p>
    <w:p w14:paraId="344FFEAA" w14:textId="77777777" w:rsidR="00D62AB2" w:rsidRDefault="00D62AB2" w:rsidP="00D62AB2">
      <w:pPr>
        <w:spacing w:line="100" w:lineRule="atLeast"/>
        <w:jc w:val="both"/>
        <w:rPr>
          <w:b/>
          <w:i/>
          <w:iCs/>
          <w:color w:val="000000"/>
          <w:u w:val="single"/>
        </w:rPr>
      </w:pPr>
      <w:r>
        <w:t xml:space="preserve">1. Considérant qu'aux termes de l'article 66 de la loi du 11 janvier 1984 : " Les sanctions disciplinaires sont réparties en quatre groupes. Premier groupe : - l'avertissement ; - le blâme. Deuxième groupe : - la radiation du tableau d'avancement ; - l'abaissement d'échelon ; - l'exclusion temporaire de fonctions pour une durée maximale de quinze jours ; - le déplacement d'office. Troisième groupe : - la rétrogradation ; - l'exclusion temporaire de fonctions pour une durée de trois mois à deux ans. Quatrième groupe : - la mise à la retraite d'office ; - la révocation. " ; </w:t>
      </w:r>
      <w:r>
        <w:br/>
        <w:t>2. Considérant qu'il appartient au juge de l'excès de pouvoir, saisi de moyens en ce sens, de rechercher si les faits reprochés à un agent public ayant fait l'objet d'une sanction disciplinaire constituent des fautes de nature à justifier une sanction et si la sanction retenue est proportionnée à la gravité de ces fautes ;</w:t>
      </w:r>
      <w:r>
        <w:br/>
        <w:t xml:space="preserve">3. Considérant que le ministre de l'éducation nationale, de l'enseignement supérieur et de la recherche fait grief à M.B..., professeur certifié de philosophie, affecté au lycée Eugène Thomas à Le Quesnoy, d'avoir demandé à ses élèves, s'ils le souhaitaient, d'indiquer dans leur fiche de renseignement leur " culture religieuse " et d'avoir ensuite procédé à haute voix à la lecture de certaines d'entre elles ; que l'enseignant, qui nie les avoir lus, fait valoir que la mention de cette culture religieuse s'inscrit dans la perspective de l'étude de certains thèmes du programme de philosophie ; qu'eu égard à la matière enseignée, cette initiative ne saurait, à supposer même que ces fiches aient été lues en classe, revêtir à un caractère fautif ; </w:t>
      </w:r>
      <w:r>
        <w:br/>
      </w:r>
      <w:r>
        <w:br/>
        <w:t xml:space="preserve">4. Considérant que s'il n'est pas contesté que dans le cadre de la procédure disciplinaire en cours, les défenseurs de M. B...ont joint, grâce aux numéros de téléphone que l'enseignant leur a communiqués, certains élèves ou leur famille afin d'obtenir des témoignages ou des précisions sur les circonstances des incidents reprochés à l'enseignant, il ne ressort pas des pièces du dossier que M. B...aurait directement exercé des " pressions " sur certains élèves, sur leur famille ou même sur certains de ses collègues afin d'obtenir des témoignages en sa faveur ; </w:t>
      </w:r>
      <w:r>
        <w:br/>
        <w:t xml:space="preserve">5. Considérant qu'à hauteur d'appel, le ministre ne conteste pas la censure du motif tiré des écrits irrespectueux de M. </w:t>
      </w:r>
      <w:proofErr w:type="gramStart"/>
      <w:r>
        <w:t>B...</w:t>
      </w:r>
      <w:proofErr w:type="gramEnd"/>
      <w:r>
        <w:t xml:space="preserve">contenus dans deux courriers dans lesquels il met en cause le comportement de son chef d'établissement ; </w:t>
      </w:r>
      <w:r>
        <w:br/>
        <w:t xml:space="preserve">6. Considérant, en revanche, qu'il ressort des pièces du dossier que M. B...a évoqué devant ses élèves son engagement politique, d'une part, en mettant à leur disposition, lors d'un cours, des tracts de nature politique et, d'autre part, en évoquant à l'occasion d'un débat sur l'actualité, son expérience personnelle en matière de grève ; que la circonstance, en l'espèce, que dans son rapport du 19 octobre 2010, le proviseur a globalisé les témoignages de cinq élèves, relatant ces faits, sans mentionner leur nom, n'est pas de nature à leur ôter toute valeur probante ; qu'à supposer même que M. B...n'aurait pas, comme il l'allègue, tenté d'accuser l'une de ses élèves d'avoir introduit ces tracts en classe, l'ensemble de ces faits commis par l'intéressé dans l'exercice de ses fonctions d'enseignant caractérisait un manquement à l'obligation de neutralité imposée à tout fonctionnaire ; </w:t>
      </w:r>
      <w:r>
        <w:br/>
        <w:t xml:space="preserve">7. Considérant qu'il ressort également des pièces du dossier que M. B...a annoté en février 2010 une copie de bac blanc d'observations humiliantes et vexatoires ; qu'à cette occasion, M. B...a eu un comportement indigne de son statut d'enseignant et a négligé la distance institutionnelle à laquelle il est tenu de par ses fonctions ; qu'alors même que M. B...ait dû déjà s'expliquer sur ce fait et qu'il soit antérieur aux autres griefs qui lui sont reprochés, le recteur pouvait le prendre en compte pour motiver la sanction en litige ; </w:t>
      </w:r>
      <w:r>
        <w:br/>
      </w:r>
      <w:r>
        <w:br/>
      </w:r>
      <w:r>
        <w:br/>
        <w:t>8. Considérant qu'il résulte de ce qui a été dit aux points 6 et 7 que M. B...a commis des fautes de nature à justifier une sanction ; qu'eu égard à leur gravité et à la circonstance qu'elles affectent un public de lycéens, l'autorité disciplinaire n'a pas pris une sanction disproportionnée en décidant de lui infliger la sanction du déplacement d'office ; que, par suite, le ministre de l'éducation nationale, de l'enseignement supérieur et de la recherche est fondé à soutenir que c'est à tort que le tribunal administratif de Lille a annulé pour ce motif l'arrêté prononçant le déplacement d'office de M.B... ;</w:t>
      </w:r>
      <w:r>
        <w:br/>
      </w:r>
    </w:p>
    <w:p w14:paraId="7BE98D4E" w14:textId="77777777" w:rsidR="00D62AB2" w:rsidRDefault="00D62AB2" w:rsidP="00D62AB2">
      <w:pPr>
        <w:spacing w:line="100" w:lineRule="atLeast"/>
        <w:jc w:val="both"/>
        <w:rPr>
          <w:b/>
          <w:color w:val="000000"/>
        </w:rPr>
      </w:pPr>
      <w:r>
        <w:rPr>
          <w:b/>
          <w:i/>
          <w:iCs/>
          <w:color w:val="000000"/>
          <w:u w:val="single"/>
        </w:rPr>
        <w:t>§1) Neutralité religieuse et laïcité</w:t>
      </w:r>
    </w:p>
    <w:p w14:paraId="49DEE977" w14:textId="77777777" w:rsidR="00D62AB2" w:rsidRDefault="00D62AB2" w:rsidP="00D62AB2">
      <w:pPr>
        <w:spacing w:line="100" w:lineRule="atLeast"/>
        <w:jc w:val="both"/>
        <w:rPr>
          <w:b/>
          <w:color w:val="000000"/>
        </w:rPr>
      </w:pPr>
    </w:p>
    <w:p w14:paraId="07AF4516" w14:textId="77777777" w:rsidR="00D62AB2" w:rsidRDefault="00D62AB2" w:rsidP="00D62AB2">
      <w:pPr>
        <w:spacing w:line="100" w:lineRule="atLeast"/>
        <w:jc w:val="both"/>
        <w:rPr>
          <w:color w:val="000000"/>
        </w:rPr>
      </w:pPr>
      <w:r>
        <w:rPr>
          <w:b/>
          <w:color w:val="000000"/>
        </w:rPr>
        <w:t>Document 15 :</w:t>
      </w:r>
      <w:r>
        <w:rPr>
          <w:color w:val="000000"/>
        </w:rPr>
        <w:t xml:space="preserve"> CE, Avis, 3 mai 2000, </w:t>
      </w:r>
      <w:proofErr w:type="spellStart"/>
      <w:r>
        <w:rPr>
          <w:color w:val="000000"/>
        </w:rPr>
        <w:t>Dlle</w:t>
      </w:r>
      <w:proofErr w:type="spellEnd"/>
      <w:r>
        <w:rPr>
          <w:color w:val="000000"/>
        </w:rPr>
        <w:t xml:space="preserve"> Marteaux</w:t>
      </w:r>
    </w:p>
    <w:p w14:paraId="69FA2213" w14:textId="77777777" w:rsidR="00D62AB2" w:rsidRDefault="00D62AB2" w:rsidP="00D62AB2">
      <w:pPr>
        <w:spacing w:line="100" w:lineRule="atLeast"/>
        <w:jc w:val="both"/>
        <w:rPr>
          <w:color w:val="000000"/>
        </w:rPr>
      </w:pPr>
    </w:p>
    <w:p w14:paraId="3BFA1EE0" w14:textId="77777777" w:rsidR="00D62AB2" w:rsidRDefault="00D62AB2" w:rsidP="00D62AB2">
      <w:pPr>
        <w:spacing w:line="100" w:lineRule="atLeast"/>
        <w:jc w:val="both"/>
        <w:rPr>
          <w:color w:val="000000"/>
          <w:shd w:val="clear" w:color="auto" w:fill="FFFFFF"/>
        </w:rPr>
      </w:pPr>
      <w:r>
        <w:rPr>
          <w:rFonts w:ascii="Arial" w:hAnsi="Arial" w:cs="Arial"/>
          <w:color w:val="000000"/>
          <w:sz w:val="19"/>
          <w:szCs w:val="19"/>
        </w:rPr>
        <w:br/>
      </w:r>
      <w:r>
        <w:rPr>
          <w:color w:val="000000"/>
          <w:shd w:val="clear" w:color="auto" w:fill="FFFFFF"/>
        </w:rPr>
        <w:t>Vu, enregistré le 2 février 2000 au secrétariat du contentieux du Conseil d'Etat, le jugement du 25 janvier 2000 par lequel le président du tribunal administratif de Châlons-en-Champagne, avant de statuer sur la demande de Mlle Julie X... tendant à l'annulation de l'arrêté du 24 février 1999 par lequel le recteur de l'académie de Reims a mis fin à ses fonctions de surveillante intérimaire à temps complet, a décidé, par application des dispositions de l'article 12 de la loi n° 87-1127 du 31 décembre 1987 portant réforme du contentieux administratif, de transmettre le dossier de cette demande au Conseil d'Etat, en soumettant à son examen les questions suivantes :</w:t>
      </w:r>
    </w:p>
    <w:p w14:paraId="057F4767" w14:textId="77777777" w:rsidR="00D62AB2" w:rsidRDefault="00D62AB2" w:rsidP="00D62AB2">
      <w:pPr>
        <w:spacing w:line="100" w:lineRule="atLeast"/>
        <w:jc w:val="both"/>
        <w:rPr>
          <w:color w:val="000000"/>
          <w:shd w:val="clear" w:color="auto" w:fill="FFFFFF"/>
        </w:rPr>
      </w:pPr>
      <w:r>
        <w:rPr>
          <w:color w:val="000000"/>
          <w:shd w:val="clear" w:color="auto" w:fill="FFFFFF"/>
        </w:rPr>
        <w:t>1°) les exigences tenant aux principes de la laïcité de l'Etat et de la neutralité des services publics qui fondent l'obligation de réserve incombant à un agent public, doivent-elles être appréciées en fonction de la nature des services publics concernés ;</w:t>
      </w:r>
    </w:p>
    <w:p w14:paraId="7EE2ED97" w14:textId="77777777" w:rsidR="00D62AB2" w:rsidRDefault="00D62AB2" w:rsidP="00D62AB2">
      <w:pPr>
        <w:spacing w:line="100" w:lineRule="atLeast"/>
        <w:jc w:val="both"/>
        <w:rPr>
          <w:color w:val="000000"/>
          <w:shd w:val="clear" w:color="auto" w:fill="FFFFFF"/>
        </w:rPr>
      </w:pPr>
      <w:r>
        <w:rPr>
          <w:color w:val="000000"/>
          <w:shd w:val="clear" w:color="auto" w:fill="FFFFFF"/>
        </w:rPr>
        <w:t>2°) dans le cas du service public de l'enseignement, convient-il de distinguer suivant que l'agent assure ou non des fonctions éducatives et, dans cette éventualité, suivant qu'il exerce ou non des fonctions d'enseignement ;</w:t>
      </w:r>
    </w:p>
    <w:p w14:paraId="62C1BC61" w14:textId="77777777" w:rsidR="00D62AB2" w:rsidRDefault="00D62AB2" w:rsidP="00D62AB2">
      <w:pPr>
        <w:spacing w:line="100" w:lineRule="atLeast"/>
        <w:jc w:val="both"/>
        <w:rPr>
          <w:color w:val="000000"/>
        </w:rPr>
      </w:pPr>
      <w:r>
        <w:rPr>
          <w:color w:val="000000"/>
          <w:shd w:val="clear" w:color="auto" w:fill="FFFFFF"/>
        </w:rPr>
        <w:t>3°) convient-il, dans certains cas, d'opérer une distinction entre les signes religieux selon leur nature ou le degré de leur caractère ostentatoire ;</w:t>
      </w:r>
      <w:r>
        <w:rPr>
          <w:rStyle w:val="apple-converted-space"/>
          <w:color w:val="000000"/>
          <w:shd w:val="clear" w:color="auto" w:fill="FFFFFF"/>
        </w:rPr>
        <w:t> </w:t>
      </w:r>
    </w:p>
    <w:p w14:paraId="3D64BF43" w14:textId="77777777" w:rsidR="00D62AB2" w:rsidRDefault="00D62AB2" w:rsidP="00D62AB2">
      <w:pPr>
        <w:spacing w:line="100" w:lineRule="atLeast"/>
        <w:jc w:val="both"/>
        <w:rPr>
          <w:color w:val="000000"/>
          <w:shd w:val="clear" w:color="auto" w:fill="FFFFFF"/>
        </w:rPr>
      </w:pPr>
      <w:r>
        <w:rPr>
          <w:color w:val="000000"/>
        </w:rPr>
        <w:br/>
      </w:r>
      <w:r>
        <w:rPr>
          <w:color w:val="000000"/>
        </w:rPr>
        <w:br/>
      </w:r>
      <w:r>
        <w:rPr>
          <w:color w:val="000000"/>
          <w:shd w:val="clear" w:color="auto" w:fill="FFFFFF"/>
        </w:rPr>
        <w:t>1°) Il résulte des textes constitutionnels et législatifs que le principe de liberté de conscience ainsi que celui de la laïcité de l'Etat et de neutralité des services publics s'appliquent à l'ensemble de ceux-ci ;</w:t>
      </w:r>
    </w:p>
    <w:p w14:paraId="5D0A4800" w14:textId="77777777" w:rsidR="00D62AB2" w:rsidRDefault="00D62AB2" w:rsidP="00D62AB2">
      <w:pPr>
        <w:spacing w:line="100" w:lineRule="atLeast"/>
        <w:jc w:val="both"/>
        <w:rPr>
          <w:color w:val="000000"/>
          <w:shd w:val="clear" w:color="auto" w:fill="FFFFFF"/>
        </w:rPr>
      </w:pPr>
      <w:r>
        <w:rPr>
          <w:color w:val="000000"/>
          <w:shd w:val="clear" w:color="auto" w:fill="FFFFFF"/>
        </w:rPr>
        <w:t>2°) Si les agents du service de l'enseignement public bénéficient comme tous les autres agents publics de la liberté de conscience qui interdit toute discrimination dans l'accès aux fonctions comme dans le déroulement de la carrière qui serait fondée sur leur religion, le principe de laïcité fait obstacle à ce qu'ils disposent, dans le cadre du service public, du droit de manifester leurs croyances religieuses ;</w:t>
      </w:r>
    </w:p>
    <w:p w14:paraId="6E791FF5" w14:textId="77777777" w:rsidR="00D62AB2" w:rsidRDefault="00D62AB2" w:rsidP="00D62AB2">
      <w:pPr>
        <w:spacing w:line="100" w:lineRule="atLeast"/>
        <w:jc w:val="both"/>
        <w:rPr>
          <w:color w:val="000000"/>
          <w:shd w:val="clear" w:color="auto" w:fill="FFFFFF"/>
        </w:rPr>
      </w:pPr>
      <w:r>
        <w:rPr>
          <w:color w:val="000000"/>
          <w:shd w:val="clear" w:color="auto" w:fill="FFFFFF"/>
        </w:rPr>
        <w:t>Il n'y a pas lieu d'établir une distinction entre les agents de ce service public selon qu'ils sont ou non chargés de fonctions d'enseignement ;</w:t>
      </w:r>
    </w:p>
    <w:p w14:paraId="37CBF2CA" w14:textId="77777777" w:rsidR="00D62AB2" w:rsidRDefault="00D62AB2" w:rsidP="00D62AB2">
      <w:pPr>
        <w:spacing w:line="100" w:lineRule="atLeast"/>
        <w:jc w:val="both"/>
        <w:rPr>
          <w:color w:val="000000"/>
          <w:shd w:val="clear" w:color="auto" w:fill="FFFFFF"/>
        </w:rPr>
      </w:pPr>
      <w:r>
        <w:rPr>
          <w:color w:val="000000"/>
          <w:shd w:val="clear" w:color="auto" w:fill="FFFFFF"/>
        </w:rPr>
        <w:t>3°) Il résulte de ce qui a été dit ci-dessus que le fait pour un agent du service de l'enseignement public de manifester dans l'exercice de ses fonctions ses croyances religieuses, notamment en portant un signe destiné à marquer son appartenance à une religion, constitue un manquement à ses obligations ;</w:t>
      </w:r>
    </w:p>
    <w:p w14:paraId="262E01BB" w14:textId="77777777" w:rsidR="00D62AB2" w:rsidRDefault="00D62AB2" w:rsidP="00D62AB2">
      <w:pPr>
        <w:spacing w:line="100" w:lineRule="atLeast"/>
        <w:jc w:val="both"/>
        <w:rPr>
          <w:color w:val="000000"/>
          <w:shd w:val="clear" w:color="auto" w:fill="FFFFFF"/>
        </w:rPr>
      </w:pPr>
      <w:r>
        <w:rPr>
          <w:color w:val="000000"/>
          <w:shd w:val="clear" w:color="auto" w:fill="FFFFFF"/>
        </w:rPr>
        <w:t>Les suites à donner à ce manquement, notamment sur le plan disciplinaire, doivent être appréciées par l'administration sous le contrôle du juge, compte tenu de la nature et du degré de caractère ostentatoire de ce signe, comme des autres circonstances dans lesquelles le manquement est constaté ;</w:t>
      </w:r>
      <w:r>
        <w:rPr>
          <w:rStyle w:val="apple-converted-space"/>
          <w:color w:val="000000"/>
          <w:shd w:val="clear" w:color="auto" w:fill="FFFFFF"/>
        </w:rPr>
        <w:t> </w:t>
      </w:r>
    </w:p>
    <w:p w14:paraId="4E052E50" w14:textId="77777777" w:rsidR="00D62AB2" w:rsidRDefault="00D62AB2" w:rsidP="00D62AB2">
      <w:pPr>
        <w:spacing w:line="100" w:lineRule="atLeast"/>
        <w:jc w:val="both"/>
        <w:rPr>
          <w:color w:val="000000"/>
          <w:shd w:val="clear" w:color="auto" w:fill="FFFFFF"/>
        </w:rPr>
      </w:pPr>
      <w:r>
        <w:rPr>
          <w:color w:val="000000"/>
          <w:shd w:val="clear" w:color="auto" w:fill="FFFFFF"/>
        </w:rPr>
        <w:t xml:space="preserve">Le présent avis sera notifié au tribunal administratif de Châlons-en-Champagne, à Mlle Julie </w:t>
      </w:r>
      <w:proofErr w:type="gramStart"/>
      <w:r>
        <w:rPr>
          <w:color w:val="000000"/>
          <w:shd w:val="clear" w:color="auto" w:fill="FFFFFF"/>
        </w:rPr>
        <w:t>X...</w:t>
      </w:r>
      <w:proofErr w:type="gramEnd"/>
      <w:r>
        <w:rPr>
          <w:color w:val="000000"/>
          <w:shd w:val="clear" w:color="auto" w:fill="FFFFFF"/>
        </w:rPr>
        <w:t>, au ministre de la fonction publique et de la réforme de l'Etat et au ministre de l'éducation nationale ;</w:t>
      </w:r>
    </w:p>
    <w:p w14:paraId="37CE8290" w14:textId="77777777" w:rsidR="00D62AB2" w:rsidRDefault="00D62AB2" w:rsidP="00D62AB2">
      <w:pPr>
        <w:spacing w:line="100" w:lineRule="atLeast"/>
        <w:jc w:val="both"/>
        <w:rPr>
          <w:color w:val="000000"/>
        </w:rPr>
      </w:pPr>
      <w:r>
        <w:rPr>
          <w:color w:val="000000"/>
          <w:shd w:val="clear" w:color="auto" w:fill="FFFFFF"/>
        </w:rPr>
        <w:t>Il sera publié au Journal officiel de la République française.</w:t>
      </w:r>
    </w:p>
    <w:p w14:paraId="08739D71" w14:textId="77777777" w:rsidR="00D62AB2" w:rsidRDefault="00D62AB2" w:rsidP="00D62AB2">
      <w:pPr>
        <w:spacing w:line="100" w:lineRule="atLeast"/>
        <w:jc w:val="both"/>
        <w:rPr>
          <w:color w:val="000000"/>
        </w:rPr>
      </w:pPr>
    </w:p>
    <w:p w14:paraId="566BA455" w14:textId="77777777" w:rsidR="00D62AB2" w:rsidRDefault="00D62AB2" w:rsidP="00D62AB2">
      <w:pPr>
        <w:spacing w:line="100" w:lineRule="atLeast"/>
        <w:jc w:val="both"/>
        <w:rPr>
          <w:color w:val="000000"/>
        </w:rPr>
      </w:pPr>
      <w:r>
        <w:rPr>
          <w:b/>
          <w:color w:val="000000"/>
        </w:rPr>
        <w:t>Document 16 :</w:t>
      </w:r>
      <w:r>
        <w:rPr>
          <w:color w:val="000000"/>
        </w:rPr>
        <w:t xml:space="preserve"> CEDH, 15 février 2001, </w:t>
      </w:r>
      <w:proofErr w:type="spellStart"/>
      <w:r>
        <w:rPr>
          <w:color w:val="000000"/>
        </w:rPr>
        <w:t>Dahlab</w:t>
      </w:r>
      <w:proofErr w:type="spellEnd"/>
      <w:r>
        <w:rPr>
          <w:color w:val="000000"/>
        </w:rPr>
        <w:t xml:space="preserve"> c/ Suisse</w:t>
      </w:r>
    </w:p>
    <w:p w14:paraId="7A8C3820" w14:textId="77777777" w:rsidR="00D62AB2" w:rsidRDefault="00D62AB2" w:rsidP="00D62AB2">
      <w:pPr>
        <w:spacing w:line="100" w:lineRule="atLeast"/>
        <w:jc w:val="both"/>
        <w:rPr>
          <w:color w:val="000000"/>
        </w:rPr>
      </w:pPr>
    </w:p>
    <w:p w14:paraId="70522F5D" w14:textId="77777777" w:rsidR="00D62AB2" w:rsidRDefault="00D62AB2" w:rsidP="00D62AB2">
      <w:pPr>
        <w:spacing w:line="100" w:lineRule="atLeast"/>
        <w:jc w:val="both"/>
        <w:rPr>
          <w:color w:val="000000"/>
        </w:rPr>
      </w:pPr>
      <w:r>
        <w:rPr>
          <w:color w:val="000000"/>
        </w:rPr>
        <w:t>Sous l’angle du second paragraphe de l’article 9 de la Convention, la requérante estime que l’ingérence constatée viole sa liberté de religion, car elle ne repose sur aucune base légale et est injustifiée. Elle rappelle que l’article 6 LIP ne vise expressément que l’enseignement et non les enseignants eux-mêmes et l’article 120 alinéa 2 LIP n’apporte aucune précision.</w:t>
      </w:r>
    </w:p>
    <w:p w14:paraId="1BEFF9D9" w14:textId="77777777" w:rsidR="00D62AB2" w:rsidRDefault="00D62AB2" w:rsidP="00D62AB2">
      <w:pPr>
        <w:spacing w:line="100" w:lineRule="atLeast"/>
        <w:jc w:val="both"/>
        <w:rPr>
          <w:color w:val="000000"/>
        </w:rPr>
      </w:pPr>
      <w:r>
        <w:rPr>
          <w:color w:val="000000"/>
        </w:rPr>
        <w:t>En outre, l’absence de plainte d’élèves ou de parents pendant plus de cinq ans démontre à satisfaction que les convictions religieuses d’autrui ont été respectées. Enfin, la paix confessionnelle à l’école n’a jamais été troublée, car la requérante a toujours fait preuve de tolérance vis-à-vis de ses élèves, ce d’autant plus, qu’étant de nationalités fort diverses, ils sont particulièrement habitués à la diversité et à la tolérance.</w:t>
      </w:r>
    </w:p>
    <w:p w14:paraId="6050C56F" w14:textId="77777777" w:rsidR="00D62AB2" w:rsidRDefault="00D62AB2" w:rsidP="00D62AB2">
      <w:pPr>
        <w:spacing w:line="100" w:lineRule="atLeast"/>
        <w:jc w:val="both"/>
        <w:rPr>
          <w:color w:val="000000"/>
        </w:rPr>
      </w:pPr>
      <w:r>
        <w:rPr>
          <w:color w:val="000000"/>
        </w:rPr>
        <w:t xml:space="preserve">La Cour rappelle en premier lieu sa jurisprudence, en vertu de laquelle la liberté de pensée, de conscience et de religion, qui se trouve consacrée à l’article 9 de la Convention, représente l’une des assises d’une « société démocratique » au sens de la Convention. Elle est, dans sa dimension religieuse, l’un des éléments les plus vitaux contribuant à former l’identité des croyants et leur conception de la vie, mais elle est aussi un bien précieux pour les athées, les agnostiques, les sceptiques ou les indifférents. Il y va du pluralisme – chèrement conquis au cours des siècles – consubstantiel à pareille société. Si la liberté religieuse relève d’abord du for intérieur, elle implique de surcroît, notamment, celle de manifester sa religion. Le témoignage, en paroles et en actes, se trouve lié à l’existence de convictions religieuses (arrêts </w:t>
      </w:r>
      <w:proofErr w:type="spellStart"/>
      <w:r>
        <w:rPr>
          <w:color w:val="000000"/>
        </w:rPr>
        <w:t>Kokkinakis</w:t>
      </w:r>
      <w:proofErr w:type="spellEnd"/>
      <w:r>
        <w:rPr>
          <w:color w:val="000000"/>
        </w:rPr>
        <w:t xml:space="preserve"> c. Grèce du 25 mai 1993, série A n° 260-A, p. 17, § 31 et Otto-Preminger-Institut c. Autriche du 20 septembre 1994, série A n° 295-A, p.17, § 47).</w:t>
      </w:r>
    </w:p>
    <w:p w14:paraId="15B317BB" w14:textId="77777777" w:rsidR="00D62AB2" w:rsidRDefault="00D62AB2" w:rsidP="00D62AB2">
      <w:pPr>
        <w:spacing w:line="100" w:lineRule="atLeast"/>
        <w:jc w:val="both"/>
        <w:rPr>
          <w:color w:val="000000"/>
        </w:rPr>
      </w:pPr>
      <w:r>
        <w:rPr>
          <w:color w:val="000000"/>
        </w:rPr>
        <w:t xml:space="preserve">La Cour constate ensuite que dans une société démocratique, où plusieurs religions coexistent au sein d’une même population, il peut se révéler nécessaire d’assortir cette liberté de limitations propres à concilier les intérêts des divers groupes et à assurer le respect des convictions de chacun (arrêt </w:t>
      </w:r>
      <w:proofErr w:type="spellStart"/>
      <w:r>
        <w:rPr>
          <w:color w:val="000000"/>
        </w:rPr>
        <w:t>Kokkinakis</w:t>
      </w:r>
      <w:proofErr w:type="spellEnd"/>
      <w:r>
        <w:rPr>
          <w:color w:val="000000"/>
        </w:rPr>
        <w:t xml:space="preserve"> précité, p. 18, § 33).</w:t>
      </w:r>
    </w:p>
    <w:p w14:paraId="12A223B3" w14:textId="77777777" w:rsidR="00D62AB2" w:rsidRDefault="00D62AB2" w:rsidP="00D62AB2">
      <w:pPr>
        <w:spacing w:line="100" w:lineRule="atLeast"/>
        <w:jc w:val="both"/>
        <w:rPr>
          <w:color w:val="000000"/>
        </w:rPr>
      </w:pPr>
    </w:p>
    <w:p w14:paraId="7140376E" w14:textId="77777777" w:rsidR="00D62AB2" w:rsidRDefault="00D62AB2" w:rsidP="00D62AB2">
      <w:pPr>
        <w:spacing w:line="100" w:lineRule="atLeast"/>
        <w:jc w:val="both"/>
        <w:rPr>
          <w:color w:val="000000"/>
        </w:rPr>
      </w:pPr>
      <w:r>
        <w:rPr>
          <w:color w:val="000000"/>
        </w:rPr>
        <w:t>(…)</w:t>
      </w:r>
    </w:p>
    <w:p w14:paraId="479B7A03" w14:textId="77777777" w:rsidR="00D62AB2" w:rsidRDefault="00D62AB2" w:rsidP="00D62AB2">
      <w:pPr>
        <w:spacing w:line="100" w:lineRule="atLeast"/>
        <w:jc w:val="both"/>
        <w:rPr>
          <w:color w:val="000000"/>
        </w:rPr>
      </w:pPr>
    </w:p>
    <w:p w14:paraId="32A49317" w14:textId="77777777" w:rsidR="00D62AB2" w:rsidRDefault="00D62AB2" w:rsidP="00D62AB2">
      <w:pPr>
        <w:spacing w:line="100" w:lineRule="atLeast"/>
        <w:jc w:val="both"/>
        <w:rPr>
          <w:color w:val="000000"/>
        </w:rPr>
      </w:pPr>
      <w:r>
        <w:rPr>
          <w:color w:val="000000"/>
        </w:rPr>
        <w:t>La requérante fait valoir en outre que la mesure ne poursuivait pas un but légitime. Eu égard aux circonstances de la Cour et aux termes mêmes des décisions des trois autorités compétentes, la Cour est d’avis que la mesure poursuivait des buts légitimes au sens de l’article 9 § 2 : la protection des droits et libertés d’autrui, la sécurité publique et la protection de l’ordre.</w:t>
      </w:r>
    </w:p>
    <w:p w14:paraId="6EABB690" w14:textId="77777777" w:rsidR="00D62AB2" w:rsidRDefault="00D62AB2" w:rsidP="00D62AB2">
      <w:pPr>
        <w:spacing w:line="100" w:lineRule="atLeast"/>
        <w:jc w:val="both"/>
        <w:rPr>
          <w:color w:val="000000"/>
        </w:rPr>
      </w:pPr>
      <w:r>
        <w:rPr>
          <w:color w:val="000000"/>
        </w:rPr>
        <w:t xml:space="preserve">Examinant enfin si la mesure était « nécessaire dans une société démocratique », la Cour rappelle que selon sa jurisprudence constante, il faut reconnaître aux Etats contractants une certaine marge d’appréciation pour juger de l’existence et de l’étendue de la nécessité d’une ingérence, mais elle va de pair avec un contrôle européen portant à la fois sur la loi et sur les décisions qui l’appliquent, même quand elles émanent d’une juridiction indépendante. La tâche de la Cour consiste à rechercher si les mesures prises au niveau national se justifient dans leur principe, c’est-à-dire si les motifs invoqués pour les justifier apparaissent « pertinents et suffisants », et sont proportionnées au but légitime poursuivi (arrêt Sunday Times c. Royaume-Uni du 26 novembre 1991, série A n° 217, pp. 28-29, § 50). Pour statuer sur ce dernier point, il y a lieu de mettre en balance les exigences de la protection des droits et libertés d’autrui avec le comportement reproché au requérant. Dans l’exercice de son pouvoir de contrôle, la Cour doit considérer les décisions judiciaires litigieuses sur la base de l’ensemble du dossier (arrêt </w:t>
      </w:r>
      <w:proofErr w:type="spellStart"/>
      <w:r>
        <w:rPr>
          <w:color w:val="000000"/>
        </w:rPr>
        <w:t>Kokkinakis</w:t>
      </w:r>
      <w:proofErr w:type="spellEnd"/>
      <w:r>
        <w:rPr>
          <w:color w:val="000000"/>
        </w:rPr>
        <w:t xml:space="preserve"> c. Grèce précité, p. 21, § 47).</w:t>
      </w:r>
    </w:p>
    <w:p w14:paraId="4C87B104" w14:textId="77777777" w:rsidR="00D62AB2" w:rsidRDefault="00D62AB2" w:rsidP="00D62AB2">
      <w:pPr>
        <w:spacing w:line="100" w:lineRule="atLeast"/>
        <w:jc w:val="both"/>
        <w:rPr>
          <w:color w:val="000000"/>
        </w:rPr>
      </w:pPr>
      <w:r>
        <w:rPr>
          <w:color w:val="000000"/>
        </w:rPr>
        <w:t>Appliquant ces principes au cas d’espèce la Cour relève que le Tribunal fédéral a justifié la mesure d’interdiction de porter le foulard prise à l’égard de la requérante uniquement dans le cadre de son activité d’enseignement, d’une part, par l’atteinte qui pouvait être portée aux sentiments religieux de ses élèves, des autres élèves de l’école et de leurs parents et par l’atteinte au principe de neutralité confessionnelle de l’école. A cet égard, il a tenu compte de la nature même de la profession d’enseignant de l’école publique, détenteur de l’autorité scolaire et représentant de l’Etat, mettant ainsi en balance la protection du but légitime que représente la neutralité de l’enseignement public et la liberté de manifester sa religion. Il a noté, d’autre part, que la mesure litigieuse plaçait la requérante devant une alternative difficile, estimant cependant que les enseignants de l’école publique devaient tolérer des restrictions proportionnées à leur liberté religieuse. A son opinion, l’atteinte portée au droit de la requérante de manifester librement sa religion se justifiait ainsi par la nécessaire protection, dans une société démocratique, du droit des élèves de l’enseignement public à recevoir une formation dispensée dans un contexte de neutralité religieuse. Il en ressort que les convictions religieuses ont été pleinement prises en compte face aux impératifs de la protection des droits et libertés d’autrui, de la préservation de l’ordre et de la sécurité publics. Il est également clair que ce sont ces impératifs qui fondaient la décision litigieuse et non des objections aux convictions religieuses de la requérante.</w:t>
      </w:r>
    </w:p>
    <w:p w14:paraId="0C9EC64A" w14:textId="77777777" w:rsidR="00D62AB2" w:rsidRDefault="00D62AB2" w:rsidP="00D62AB2">
      <w:pPr>
        <w:spacing w:line="100" w:lineRule="atLeast"/>
        <w:jc w:val="both"/>
        <w:rPr>
          <w:color w:val="000000"/>
        </w:rPr>
      </w:pPr>
      <w:r>
        <w:rPr>
          <w:color w:val="000000"/>
        </w:rPr>
        <w:t>La Cour prend acte que la requérante, qui a abandonné la religion catholique pour se convertir à l’islam en 1991, à une époque où elle exerçait depuis plus d’une année déjà la fonction d’enseignante dans la même école primaire, a porté durant une période approximative de trois ans le foulard islamique sans qu’apparemment il y ait eu d’intervention, ni de la part de la direction de l’école, ni de la part de l’inspectrice de la circonscription scolaire, et sans qu’il y ait eu de remarque de la part des parents à ce propos. Ceci porte à croire qu’il n’y avait rien à dire pendant cette période sur le contenu ou sur la qualité de l’enseignement donné par la requérante qui apparemment ne cherchait pas à tirer un bénéfice quelconque de la manifestation extérieure de sa croyance religieuse.</w:t>
      </w:r>
    </w:p>
    <w:p w14:paraId="4229C492" w14:textId="77777777" w:rsidR="00D62AB2" w:rsidRDefault="00D62AB2" w:rsidP="00D62AB2">
      <w:pPr>
        <w:spacing w:line="100" w:lineRule="atLeast"/>
        <w:jc w:val="both"/>
        <w:rPr>
          <w:color w:val="000000"/>
        </w:rPr>
      </w:pPr>
      <w:r>
        <w:rPr>
          <w:color w:val="000000"/>
        </w:rPr>
        <w:t>La Cour admet qu’il est bien difficile d’apprécier l’impact qu’un signe extérieur fort tel que le port du foulard peut avoir sur la liberté de conscience et de religion d’enfants en bas âge. En effet, la requérante a enseigné dans une classe d’enfants entre quatre et huit ans et donc d’élèves se trouvant dans un âge où ils se posent beaucoup de questions tout en étant plus facilement influençables que d’autres élèves se trouvant dans un âge plus avancé. Comment dès lors pourrait-on dans ces circonstances dénier de prime abord tout effet prosélytique que peut avoir le port du foulard dès lors qu’il semble être imposé aux femmes par une prescription coranique qui, comme le constate le Tribunal fédéral, est difficilement conciliable avec le principe d’égalité des sexes. Aussi, semble-t-il difficile de concilier le port du foulard islamique avec le message de tolérance, de respect d’autrui et surtout d’égalité et de non-discrimination que dans une démocratie tout enseignant doit transmettre à ses élèves.</w:t>
      </w:r>
    </w:p>
    <w:p w14:paraId="5766FE03" w14:textId="77777777" w:rsidR="00D62AB2" w:rsidRDefault="00D62AB2" w:rsidP="00D62AB2">
      <w:pPr>
        <w:spacing w:line="100" w:lineRule="atLeast"/>
        <w:jc w:val="both"/>
        <w:rPr>
          <w:color w:val="000000"/>
        </w:rPr>
      </w:pPr>
      <w:r>
        <w:rPr>
          <w:color w:val="000000"/>
        </w:rPr>
        <w:t>Partant, en mettant en balance le droit de l’instituteur de manifester sa religion et la protection de l’élève à travers la sauvegarde de la paix religieuse, la Cour estime que dans les circonstances données et vu surtout le bas âge des enfants dont la requérante avait la charge en tant que représentante de l’Etat, les autorités genevoises n’ont pas outrepassé leur marge d’appréciation et que donc la mesure qu’elles ont prise n’était pas déraisonnable.</w:t>
      </w:r>
    </w:p>
    <w:p w14:paraId="252BA54A" w14:textId="77777777" w:rsidR="00D62AB2" w:rsidRDefault="00D62AB2" w:rsidP="00D62AB2">
      <w:pPr>
        <w:spacing w:line="100" w:lineRule="atLeast"/>
        <w:jc w:val="both"/>
        <w:rPr>
          <w:color w:val="000000"/>
        </w:rPr>
      </w:pPr>
      <w:r>
        <w:rPr>
          <w:color w:val="000000"/>
        </w:rPr>
        <w:t>A la lumière de ces considérations et de celles développées par le Tribunal fédéral dans son arrêt du 12 novembre 1997, la Cour est d’avis que la mesure litigieuse s’analyse en une mesure justifiée dans son principe et proportionnée à l’objectif visé de protection des droits et libertés d’autrui, de l’ordre et de la sécurité publique. En conséquence la Cour est d’avis que l’interdiction faite à la requérante de porter le foulard dans le cadre de son activité d’enseignement constituait une mesure « nécessaire dans une société démocratique ».</w:t>
      </w:r>
    </w:p>
    <w:p w14:paraId="1670C673" w14:textId="77777777" w:rsidR="00D62AB2" w:rsidRDefault="00D62AB2" w:rsidP="00D62AB2">
      <w:pPr>
        <w:spacing w:line="100" w:lineRule="atLeast"/>
        <w:jc w:val="both"/>
        <w:rPr>
          <w:color w:val="000000"/>
        </w:rPr>
      </w:pPr>
    </w:p>
    <w:p w14:paraId="7F79F6F3" w14:textId="77777777" w:rsidR="00D62AB2" w:rsidRDefault="00D62AB2" w:rsidP="00D62AB2">
      <w:pPr>
        <w:spacing w:line="100" w:lineRule="atLeast"/>
        <w:jc w:val="both"/>
        <w:rPr>
          <w:color w:val="000000"/>
        </w:rPr>
      </w:pPr>
    </w:p>
    <w:p w14:paraId="0503CBEE" w14:textId="77777777" w:rsidR="00D62AB2" w:rsidRDefault="00D62AB2" w:rsidP="00D62AB2">
      <w:pPr>
        <w:spacing w:line="100" w:lineRule="atLeast"/>
        <w:jc w:val="both"/>
        <w:rPr>
          <w:color w:val="000000"/>
        </w:rPr>
      </w:pPr>
      <w:r>
        <w:rPr>
          <w:b/>
          <w:color w:val="000000"/>
        </w:rPr>
        <w:t>Document 17 :</w:t>
      </w:r>
      <w:r>
        <w:rPr>
          <w:color w:val="000000"/>
        </w:rPr>
        <w:t xml:space="preserve"> CAA Versailles, 6 oct. 2011, </w:t>
      </w:r>
      <w:proofErr w:type="spellStart"/>
      <w:r>
        <w:rPr>
          <w:color w:val="000000"/>
        </w:rPr>
        <w:t>Abderahim</w:t>
      </w:r>
      <w:proofErr w:type="spellEnd"/>
    </w:p>
    <w:p w14:paraId="7DB3227A" w14:textId="77777777" w:rsidR="00D62AB2" w:rsidRDefault="00D62AB2" w:rsidP="00D62AB2">
      <w:pPr>
        <w:spacing w:line="100" w:lineRule="atLeast"/>
        <w:jc w:val="both"/>
        <w:rPr>
          <w:color w:val="000000"/>
        </w:rPr>
      </w:pPr>
    </w:p>
    <w:p w14:paraId="5C3EAB4A" w14:textId="77777777" w:rsidR="00D62AB2" w:rsidRDefault="00D62AB2" w:rsidP="00D62AB2">
      <w:pPr>
        <w:spacing w:line="100" w:lineRule="atLeast"/>
        <w:jc w:val="both"/>
        <w:rPr>
          <w:color w:val="000000"/>
        </w:rPr>
      </w:pPr>
      <w:r>
        <w:rPr>
          <w:color w:val="000000"/>
        </w:rPr>
        <w:t>Considérant, en deuxième lieu, que le présent arrêt annule la décision en date du 8 mars 2007 prononçant le licenciement de Mme A pour un vice de forme ; que cette illégalité constitue une faute de nature à engager la responsabilité de la commune de Pierrefitte-sur-Seine ; que, toutefois, pour fixer les droits à indemnité de l’intéressé, il y a lieu de tenir compte de l’importance respective de l’irrégularité entachant la mesure d’éviction et des fautes relevées à la charge de Mme A ; qu’il résulte de l’instruction que cette dernière a été licenciée pour faute grave au motif que, dans l’exercice de ses fonctions d’assistante maternelle, et malgré plusieurs demandes, elle a refusé de ne plus se couvrir la tête d’un foulard, en signe d’appartenance religieuse, manquant ainsi gravement à ses obligations professionnelles ;</w:t>
      </w:r>
    </w:p>
    <w:p w14:paraId="6B3E1138" w14:textId="77777777" w:rsidR="00D62AB2" w:rsidRDefault="00D62AB2" w:rsidP="00D62AB2">
      <w:pPr>
        <w:spacing w:line="100" w:lineRule="atLeast"/>
        <w:jc w:val="both"/>
        <w:rPr>
          <w:color w:val="000000"/>
        </w:rPr>
      </w:pPr>
    </w:p>
    <w:p w14:paraId="47277B4B" w14:textId="77777777" w:rsidR="00D62AB2" w:rsidRDefault="00D62AB2" w:rsidP="00D62AB2">
      <w:pPr>
        <w:spacing w:line="100" w:lineRule="atLeast"/>
        <w:jc w:val="both"/>
        <w:rPr>
          <w:color w:val="000000"/>
        </w:rPr>
      </w:pPr>
      <w:r>
        <w:rPr>
          <w:color w:val="000000"/>
        </w:rPr>
        <w:t>Considérant, d’une part, que le principe de liberté de conscience découlant de l’article 10 de la déclaration des droits de l’homme et du citoyen du 26 août 1789 et du préambule de la Constitution de 1946 repris par la Constitution du 4 octobre 1958 bénéficie à tous les agents publics ; que, toutefois, le principe de laïcité de la République, confirmé par l’article 1er de la Constitution, qui a pour corollaire nécessaire le principe de neutralité des services publics, fait obstacle à ce que les agents publics disposent, dans le cadre du service public, du droit de manifester leurs croyances religieuses ; que cette exigence de nature constitutionnelle, commandée par la nécessité de garantir les droits des usagers des services publics, ne méconnaît ni le droit au respect de la liberté religieuse, ni l’article 10 de la déclaration des droits de l’homme et du citoyen du 26 août 1789, ni l’article 9 de la convention européenne de sauvegarde des droits de l’homme et des libertés fondamentales ; que, dès lors, le fait pour un agent public, quelles que soient ses fonctions, de manifester dans l’exercice de ces dernières ses croyances religieuses, notamment en portant un signe destiné à marquer son appartenance à une religion, constitue un manquement à ses obligations professionnelles et donc une faute ;</w:t>
      </w:r>
    </w:p>
    <w:p w14:paraId="50B1C017" w14:textId="77777777" w:rsidR="00D62AB2" w:rsidRDefault="00D62AB2" w:rsidP="00D62AB2">
      <w:pPr>
        <w:spacing w:line="100" w:lineRule="atLeast"/>
        <w:jc w:val="both"/>
        <w:rPr>
          <w:color w:val="000000"/>
        </w:rPr>
      </w:pPr>
    </w:p>
    <w:p w14:paraId="4E231602" w14:textId="77777777" w:rsidR="00D62AB2" w:rsidRDefault="00D62AB2" w:rsidP="00D62AB2">
      <w:pPr>
        <w:spacing w:line="100" w:lineRule="atLeast"/>
        <w:jc w:val="both"/>
        <w:rPr>
          <w:color w:val="000000"/>
        </w:rPr>
      </w:pPr>
      <w:r>
        <w:rPr>
          <w:color w:val="000000"/>
        </w:rPr>
        <w:t xml:space="preserve">Considérant, d’autre part, que pour apprécier la gravité de la faute commise par la requérante il y a lieu de tenir compte de l’ensemble des circonstances de l’espèce et, entre autres, de la nature et du degré du caractère ostentatoire de la manifestation de ses croyances religieuses dans l’exercice de ses fonctions ainsi que de la nature des fonctions qui lui étaient confiées ; que Mme A ne conteste pas avoir porté depuis l’année 2000 un voile puis un bandana destinés à marquer manifestement son appartenance à une religion ; que, contrairement à ce qu’elle soutient, la circonstance, à la supposer établie, qu’elle ne portait un bandana que pour recevoir les parents, ne saurait l’exonérer du nécessaire respect du principe de neutralité à l’égard des usagers du service public ; que, dans ces conditions, malgré l’ancienneté de Mme A et le fait qu’elle n’a </w:t>
      </w:r>
      <w:proofErr w:type="spellStart"/>
      <w:r>
        <w:rPr>
          <w:color w:val="000000"/>
        </w:rPr>
        <w:t>jusque là</w:t>
      </w:r>
      <w:proofErr w:type="spellEnd"/>
      <w:r>
        <w:rPr>
          <w:color w:val="000000"/>
        </w:rPr>
        <w:t xml:space="preserve"> jamais fait l’objet d’une sanction, en refusant d’obtempérer aux demandes de la commune, malgré les mises en garde et une tentative de médiation, celle-ci a commis une faute de nature à justifier son licenciement sans qu’elle puisse utilement faire valoir que le président du conseil général avait toujours renouvelé son agrément en qualité d’assistante maternelle ; que, par suite, la décision de licenciement n’est pas entachée d’une erreur manifeste d’appréciation ;</w:t>
      </w:r>
    </w:p>
    <w:p w14:paraId="33103AE5" w14:textId="77777777" w:rsidR="00D62AB2" w:rsidRDefault="00D62AB2" w:rsidP="00D62AB2">
      <w:pPr>
        <w:spacing w:line="100" w:lineRule="atLeast"/>
        <w:jc w:val="both"/>
        <w:rPr>
          <w:color w:val="000000"/>
        </w:rPr>
      </w:pPr>
    </w:p>
    <w:p w14:paraId="10B039D0" w14:textId="77777777" w:rsidR="00D62AB2" w:rsidRDefault="00D62AB2" w:rsidP="00D62AB2">
      <w:pPr>
        <w:spacing w:line="100" w:lineRule="atLeast"/>
        <w:jc w:val="both"/>
        <w:rPr>
          <w:b/>
          <w:color w:val="000000"/>
        </w:rPr>
      </w:pPr>
      <w:r>
        <w:rPr>
          <w:color w:val="000000"/>
        </w:rPr>
        <w:t>Considérant qu’il résulte de ce qui précède que l’illégalité dont la décision du maire de la commune de Pierrefitte-sur-Seine en date du 8 mars 2007 est entachée n’est pas de nature à ouvrir à Mme A un droit à indemnité ;</w:t>
      </w:r>
    </w:p>
    <w:p w14:paraId="53A69323" w14:textId="77777777" w:rsidR="00D62AB2" w:rsidRDefault="00D62AB2" w:rsidP="00D62AB2">
      <w:pPr>
        <w:spacing w:line="100" w:lineRule="atLeast"/>
        <w:jc w:val="both"/>
        <w:rPr>
          <w:b/>
          <w:color w:val="000000"/>
        </w:rPr>
      </w:pPr>
    </w:p>
    <w:p w14:paraId="386796DB" w14:textId="77777777" w:rsidR="00D62AB2" w:rsidRDefault="00D62AB2" w:rsidP="00D62AB2">
      <w:pPr>
        <w:spacing w:line="100" w:lineRule="atLeast"/>
        <w:jc w:val="both"/>
        <w:rPr>
          <w:color w:val="000000"/>
        </w:rPr>
      </w:pPr>
      <w:r>
        <w:rPr>
          <w:b/>
          <w:color w:val="000000"/>
        </w:rPr>
        <w:t>Document 18 :</w:t>
      </w:r>
      <w:r>
        <w:rPr>
          <w:color w:val="000000"/>
        </w:rPr>
        <w:t xml:space="preserve"> CEDH, 26 novembre 2015, </w:t>
      </w:r>
      <w:proofErr w:type="spellStart"/>
      <w:r>
        <w:rPr>
          <w:color w:val="000000"/>
        </w:rPr>
        <w:t>Ebrahimian</w:t>
      </w:r>
      <w:proofErr w:type="spellEnd"/>
      <w:r>
        <w:rPr>
          <w:color w:val="000000"/>
        </w:rPr>
        <w:t xml:space="preserve"> </w:t>
      </w:r>
      <w:proofErr w:type="spellStart"/>
      <w:r>
        <w:rPr>
          <w:color w:val="000000"/>
        </w:rPr>
        <w:t>ctre</w:t>
      </w:r>
      <w:proofErr w:type="spellEnd"/>
      <w:r>
        <w:rPr>
          <w:color w:val="000000"/>
        </w:rPr>
        <w:t xml:space="preserve"> France</w:t>
      </w:r>
    </w:p>
    <w:p w14:paraId="79133409" w14:textId="77777777" w:rsidR="00D62AB2" w:rsidRDefault="00D62AB2" w:rsidP="00D62AB2">
      <w:pPr>
        <w:spacing w:line="100" w:lineRule="atLeast"/>
        <w:jc w:val="both"/>
        <w:rPr>
          <w:color w:val="000000"/>
        </w:rPr>
      </w:pPr>
    </w:p>
    <w:p w14:paraId="70C02D5C" w14:textId="77777777" w:rsidR="00D62AB2" w:rsidRDefault="00D62AB2" w:rsidP="00D62AB2">
      <w:pPr>
        <w:spacing w:line="100" w:lineRule="atLeast"/>
        <w:jc w:val="both"/>
        <w:rPr>
          <w:color w:val="000000"/>
        </w:rPr>
      </w:pPr>
      <w:r>
        <w:rPr>
          <w:color w:val="000000"/>
        </w:rPr>
        <w:t xml:space="preserve">En fait – En 1999, la requérante fut recrutée sous contrat à durée déterminée en qualité d’agent contractuel de la fonction publique hospitalière afin d’occuper les fonctions d’assistante sociale en service de psychiatrie au sein d’un établissement public. En 2000, elle fut informée du non-renouvellement de son contrat. Cette décision était motivée par son refus d’enlever le voile qu’elle portait et avait été prise à la suite de plaintes formulées par certains patients du centre. Elle avait été précédée d’un entretien au cours duquel son appartenance religieuse n’avait pas été reproché à la requérante, mais il lui avait simplement été rappelé les droits et obligations des fonctionnaires, à savoir l’interdiction d’afficher une telle appartenance. Le non-renouvellement du contrat reposait notamment sur un avis du Conseil d’État qui indique que le principe de laïcité de l’État et de neutralité des services publics s’applique à l’ensemble des services publics. Il souligne que l’agent doit bénéficier de la liberté de conscience mais que cette liberté doit se concilier, du point de vue de son expression, avec le principe de neutralité du service, qui fait obstacle au port d’un signe destiné à marquer son appartenance à une religion. En outre, en cas de manquement à cette obligation de neutralité, il précise que les suites à donner sur le plan disciplinaire doivent être appréciées au cas par cas en fonction des circonstances particulières. Les recours de la requérante furent rejetés. Par ailleurs, en 2001, la requérante fut inscrite par l’établissement qui l’avait employée au concours d’assistants socio-éducatifs. Elle ne s’y présenta pas. </w:t>
      </w:r>
    </w:p>
    <w:p w14:paraId="17991870" w14:textId="77777777" w:rsidR="00D62AB2" w:rsidRDefault="00D62AB2" w:rsidP="00D62AB2">
      <w:pPr>
        <w:spacing w:line="100" w:lineRule="atLeast"/>
        <w:jc w:val="both"/>
        <w:rPr>
          <w:color w:val="000000"/>
        </w:rPr>
      </w:pPr>
    </w:p>
    <w:p w14:paraId="1480D6B5" w14:textId="42110119" w:rsidR="00C24E8B" w:rsidRDefault="00D62AB2" w:rsidP="00D62AB2">
      <w:pPr>
        <w:spacing w:line="100" w:lineRule="atLeast"/>
        <w:jc w:val="both"/>
        <w:rPr>
          <w:b/>
          <w:bCs/>
          <w:i/>
          <w:iCs/>
          <w:color w:val="000000"/>
        </w:rPr>
      </w:pPr>
      <w:r>
        <w:rPr>
          <w:color w:val="000000"/>
        </w:rPr>
        <w:t xml:space="preserve">En droit – Article 9 : Le non-renouvellement du contrat de la requérante constitue une ingérence dans son droit à manifester sa religion. Cette ingérence était prévue par la loi et poursuivait le but légitime qu’est la protection des droits et libertés d’autrui. Il s’agissait en l’espèce de préserver le respect de toutes les croyances religieuses et orientations spirituelles des patients, usagers du service public et destinataires de l’exigence de neutralité imposée à la requérante, en leur assurant une stricte égalité. L’objectif était également de veiller à ce que ces usagers bénéficient d’une égalité de traitement sans distinction de religion. Par conséquent, cette restriction poursuivait un objectif de protection des droits et libertés d’autrui et ne devait pas nécessairement être motivée, en plus, par des contraintes de sécurité publique ou de protection de l’ordre. Quant à la nécessité de la mesure en question, il faut noter que l’administration a indiqué à la requérante les raisons pour lesquelles ce principe justifiait une application particulière à l’égard d’une assistante sociale dans un service psychiatrique d’un hôpital. L’administration avait identifié les problèmes qu’entraînait son attitude au sein du service concerné et tenté de l’inciter à renoncer à afficher ses convictions religieuses. En outre, les juridictions du fond ont considéré que l’exigence de neutralité imposée à la requérante était d’autant plus impérative qu’elle était en contact avec des patients se trouvant dans un état de fragilité ou de dépendance. Il ressort du dossier que c’est bien l’impératif de la protection des droits et liberté d’autrui, c’est-à-dire le respect de la liberté de religion de tous, et non ses convictions religieuses, qui a fondé la décision litigieuse. Dans cet esprit, la neutralité du service public hospitalier peut être considéré comme liée à l’attitude de ses agents et exigeant que les patients ne puissent douter de leur impartialité. En France, les agents du service public bénéficient du droit au respect de leur liberté de conscience qui interdit notamment toute discrimination fondée sur la religion dans l’accès aux fonctions ou dans le déroulement de leur carrière. Il leur est cependant interdit de manifester leurs croyances religieuses dans l’exercice de leurs fonctions. Le fait que les juridictions nationales ont accordé plus de poids au principe de laïcité-neutralité et à l’intérêt de l’État qu’à l’intérêt de la requérante de ne pas limiter l’expression de ses croyances religieuses ne pose pas de problème au regard de la Convention. Il s’agit là d’une obligation stricte qui puise ses racines dans le rapport traditionnel qu’entretiennent la laïcité de l’État et la liberté de conscience, tel qu’il est énoncé à l’article 1er de la Constitution. Selon le modèle français, qu’il n’appartient pas à la Cour d’apprécier en tant que tel, la neutralité de l’État s’impose aux agents qui le représentent. Il incombe toutefois au juge administratif de veiller à ce que l’administration ne porte pas une atteinte disproportionnée à la liberté de conscience des agents publics lorsque la neutralité de l’État est invoquée. La requérante, pour qui il était important de manifester sa religion par le port visible d’un voile en raison de ses convictions religieuses, s’exposait à la lourde conséquence d’une procédure disciplinaire. Cependant, il ne fait pas de doute que, postérieurement à la publication de l’avis du Conseil d’État, elle savait qu’elle était tenue de se conformer à une obligation de neutralité vestimentaire au cours de l’exercice de ses fonctions. C’est en raison de son refus de se conformer à cette obligation que la requérante s’est </w:t>
      </w:r>
      <w:proofErr w:type="gramStart"/>
      <w:r>
        <w:rPr>
          <w:color w:val="000000"/>
        </w:rPr>
        <w:t>vue</w:t>
      </w:r>
      <w:proofErr w:type="gramEnd"/>
      <w:r>
        <w:rPr>
          <w:color w:val="000000"/>
        </w:rPr>
        <w:t xml:space="preserve"> notifier le déclenchement de la procédure disciplinaire, indépendamment de ses qualités professionnelles. Elle a alors bénéficié des garanties de la procédure disciplinaire ainsi que des voies de recours devant les juridictions administratives. Elle a par ailleurs renoncé à se présenter au concours d’assistante sociale alors qu’elle était inscrite sur la liste des candidats que l’établissement a dressée en parfaite connaissance de cause. Dans ces conditions, les autorités nationales n’ont pas outrepassé leur marge d’appréciation en constatant l’absence de conciliation possible entre les convictions religieuses de la requérante et l’obligation de ne pas les manifester puis en décidant de faire primer l’exigence de neutralité et d’impartialité de l’État. Au surplus, il ressort d’un rapport de l’Observatoire sur la laïcité que les différends nés de la manifestation des convictions religieuses de personnes travaillant au sein des services hospitaliers sont appréciés au cas par cas, la conciliation des intérêts en présence étant faite par l’administration dans le souci de trouver des solutions à l’amiable. Cette volonté de conciliation est confirmée par la rareté du contentieux de cette nature porté devant les juridictions. Enfin, l’hôpital est un lieu où il est demandé également aux usagers, qui ont pourtant la liberté d’exprimer leurs convictions religieuses, de contribuer à la mise en œuvre du principe de laïcité en s’abstenant de tout prosélytisme et en respectant l’organisation du service et les impératifs de santé et d’hygiène en particulier ; en d’autres termes, la réglementation de l’État concerné y fait primer les droits d’autrui, l’égalité de traitement des patients et le fonctionnement du service sur les manifestations des croyances religieuses.</w:t>
      </w:r>
      <w:r>
        <w:rPr>
          <w:color w:val="000000"/>
        </w:rPr>
        <w:br/>
      </w:r>
      <w:r>
        <w:rPr>
          <w:color w:val="000000"/>
        </w:rPr>
        <w:br/>
      </w:r>
    </w:p>
    <w:p w14:paraId="138D8885" w14:textId="77777777" w:rsidR="00C24E8B" w:rsidRPr="004F6E0B" w:rsidRDefault="00C24E8B" w:rsidP="00C24E8B">
      <w:pPr>
        <w:spacing w:line="100" w:lineRule="atLeast"/>
        <w:jc w:val="both"/>
        <w:rPr>
          <w:b/>
          <w:bCs/>
          <w:color w:val="000000"/>
          <w:sz w:val="22"/>
          <w:szCs w:val="22"/>
        </w:rPr>
      </w:pPr>
      <w:r w:rsidRPr="004F6E0B">
        <w:rPr>
          <w:b/>
          <w:bCs/>
          <w:color w:val="000000"/>
          <w:sz w:val="22"/>
          <w:szCs w:val="22"/>
        </w:rPr>
        <w:t xml:space="preserve">Document </w:t>
      </w:r>
      <w:r>
        <w:rPr>
          <w:b/>
          <w:bCs/>
          <w:color w:val="000000"/>
          <w:sz w:val="22"/>
          <w:szCs w:val="22"/>
        </w:rPr>
        <w:t>19</w:t>
      </w:r>
      <w:r w:rsidRPr="004F6E0B">
        <w:rPr>
          <w:b/>
          <w:bCs/>
          <w:color w:val="000000"/>
          <w:sz w:val="22"/>
          <w:szCs w:val="22"/>
        </w:rPr>
        <w:t xml:space="preserve"> : </w:t>
      </w:r>
      <w:r w:rsidRPr="004F6E0B">
        <w:rPr>
          <w:b/>
          <w:bCs/>
          <w:sz w:val="22"/>
          <w:szCs w:val="22"/>
        </w:rPr>
        <w:t>CE, 9 novembre 2016, Fédération départementale des libres penseurs de Seine-et-Marne</w:t>
      </w:r>
      <w:r w:rsidRPr="004F6E0B">
        <w:rPr>
          <w:b/>
          <w:bCs/>
          <w:i/>
          <w:iCs/>
          <w:sz w:val="22"/>
          <w:szCs w:val="22"/>
        </w:rPr>
        <w:t> </w:t>
      </w:r>
    </w:p>
    <w:p w14:paraId="37BB1A81"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La Fédération départementale des libres penseurs de Seine-et-Marne a demandé au tribunal administratif de Melun d’annuler pour excès de pouvoir la décision implicite par laquelle le maire de Melun a rejeté sa demande tendant à ce qu’il s’abstienne d’installer une crèche de Noël dans l’enceinte de l’hôtel de ville de cette commune durant le mois de décembre 2012. Par un jugement n°1300483 du 22 décembre 2014, le tribunal administratif de Melun a rejeté sa demande.</w:t>
      </w:r>
    </w:p>
    <w:p w14:paraId="1FF48595" w14:textId="77777777" w:rsidR="00C24E8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Par un arrêt n°15PA00814 du 8 octobre 2015, la cour administrative d’appel de Paris, faisant droit à l’appel formé par la Fédération départementale des libres penseurs de Seine-et-Marne, a annulé ce jugement et annulé pour excès de pouvoir la décision implicite de rejet du maire de la commune Melun.</w:t>
      </w:r>
    </w:p>
    <w:p w14:paraId="02B559E2"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Pr>
          <w:rFonts w:eastAsia="Times New Roman"/>
          <w:kern w:val="0"/>
          <w:lang w:eastAsia="fr-FR"/>
        </w:rPr>
        <w:t>(…)</w:t>
      </w:r>
    </w:p>
    <w:p w14:paraId="0245E1C9"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Considérant ce qui suit :</w:t>
      </w:r>
      <w:r w:rsidRPr="004F6E0B">
        <w:rPr>
          <w:rFonts w:eastAsia="Times New Roman"/>
          <w:kern w:val="0"/>
          <w:lang w:eastAsia="fr-FR"/>
        </w:rPr>
        <w:br/>
        <w:t>1. L’intervention de l’association EGALE, qui tend au rejet du pourvoi, a été enregistrée le 26 octobre 2016, soit postérieurement à la clôture de l’instruction. Cette intervention, qui, au surplus, n’a pas été présentée par le ministère d’un avocat au Conseil d’Etat et à la Cour de cassation, n’est, par suite, pas recevable.</w:t>
      </w:r>
    </w:p>
    <w:p w14:paraId="4DF395B7"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2. Il ressort des pièces du dossier soumis aux juges du fond que, par courrier du 18 octobre 2012, la Fédération départementale des libres penseurs de Seine-et-Marne a demandé au maire de Melun de s’abstenir d’installer une crèche de Noël dans l’enceinte de l’hôtel de ville de cette commune durant le mois de décembre 2012. Une crèche ayant néanmoins été installée dans la cour intérieure de l’hôtel de ville, la Fédération départementale des libres penseurs de Seine-et-Marne a demandé au tribunal administratif de Melun d’annuler pour excès de pouvoir la décision du maire de cette commune de procéder à cette installation. Par un jugement du 22 décembre 2014, le tribunal administratif de Melun a rejeté sa demande. Par un arrêt du 8 octobre 2015, la cour administrative d’appel de Paris a fait droit à l’appel formé par la Fédération des libres penseurs de Seine-et-Marne contre ce jugement. La commune de Melun se pourvoit en cassation contre cet arrêt.</w:t>
      </w:r>
    </w:p>
    <w:p w14:paraId="14C37913"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3. Aux termes des trois premières phrases du premier alinéa de l’article 1</w:t>
      </w:r>
      <w:r w:rsidRPr="004F6E0B">
        <w:rPr>
          <w:rFonts w:eastAsia="Times New Roman"/>
          <w:kern w:val="0"/>
          <w:vertAlign w:val="superscript"/>
          <w:lang w:eastAsia="fr-FR"/>
        </w:rPr>
        <w:t>er</w:t>
      </w:r>
      <w:r w:rsidRPr="004F6E0B">
        <w:rPr>
          <w:rFonts w:eastAsia="Times New Roman"/>
          <w:kern w:val="0"/>
          <w:lang w:eastAsia="fr-FR"/>
        </w:rPr>
        <w:t xml:space="preserve"> de la Constitution : « </w:t>
      </w:r>
      <w:r w:rsidRPr="004F6E0B">
        <w:rPr>
          <w:rFonts w:eastAsia="Times New Roman"/>
          <w:i/>
          <w:iCs/>
          <w:kern w:val="0"/>
          <w:lang w:eastAsia="fr-FR"/>
        </w:rPr>
        <w:t>La France est une République indivisible, laïque, démocratique et sociale. Elle assure l'égalité devant la loi de tous les citoyens sans distinction d'origine, de race ou de religion. Elle respecte toutes les croyances</w:t>
      </w:r>
      <w:r w:rsidRPr="004F6E0B">
        <w:rPr>
          <w:rFonts w:eastAsia="Times New Roman"/>
          <w:kern w:val="0"/>
          <w:lang w:eastAsia="fr-FR"/>
        </w:rPr>
        <w:t>. ». La loi du 9 décembre 1905 concernant la séparation des Eglises et de l’Etat crée, pour les personnes publiques, des obligations, en leur imposant notamment, d’une part, d’assurer la liberté de conscience et de garantir le libre exercice des cultes, d’autre part, de veiller à la neutralité des agents publics et des services publics à l’égard des cultes, en particulier en n’en reconnaissant ni n’en subventionnant aucun. Ainsi, aux termes de l’article 1</w:t>
      </w:r>
      <w:r w:rsidRPr="004F6E0B">
        <w:rPr>
          <w:rFonts w:eastAsia="Times New Roman"/>
          <w:kern w:val="0"/>
          <w:vertAlign w:val="superscript"/>
          <w:lang w:eastAsia="fr-FR"/>
        </w:rPr>
        <w:t>er</w:t>
      </w:r>
      <w:r w:rsidRPr="004F6E0B">
        <w:rPr>
          <w:rFonts w:eastAsia="Times New Roman"/>
          <w:kern w:val="0"/>
          <w:lang w:eastAsia="fr-FR"/>
        </w:rPr>
        <w:t> de cette loi : « </w:t>
      </w:r>
      <w:r w:rsidRPr="004F6E0B">
        <w:rPr>
          <w:rFonts w:eastAsia="Times New Roman"/>
          <w:i/>
          <w:iCs/>
          <w:kern w:val="0"/>
          <w:lang w:eastAsia="fr-FR"/>
        </w:rPr>
        <w:t>La République assure la liberté de conscience. Elle garantit le libre exercice des cultes sous les seules restrictions édictées ci-après dans l’intérêt de l’ordre public</w:t>
      </w:r>
      <w:r w:rsidRPr="004F6E0B">
        <w:rPr>
          <w:rFonts w:eastAsia="Times New Roman"/>
          <w:kern w:val="0"/>
          <w:lang w:eastAsia="fr-FR"/>
        </w:rPr>
        <w:t> » et, aux termes de son article 2 : « </w:t>
      </w:r>
      <w:r w:rsidRPr="004F6E0B">
        <w:rPr>
          <w:rFonts w:eastAsia="Times New Roman"/>
          <w:i/>
          <w:iCs/>
          <w:kern w:val="0"/>
          <w:lang w:eastAsia="fr-FR"/>
        </w:rPr>
        <w:t>La République ne reconnaît, ne salarie ni ne subventionne aucun culte. </w:t>
      </w:r>
      <w:r w:rsidRPr="004F6E0B">
        <w:rPr>
          <w:rFonts w:eastAsia="Times New Roman"/>
          <w:kern w:val="0"/>
          <w:lang w:eastAsia="fr-FR"/>
        </w:rPr>
        <w:t>». Pour la mise en œuvre de ces principes, l’article 28 de cette même loi précise que : « </w:t>
      </w:r>
      <w:r w:rsidRPr="004F6E0B">
        <w:rPr>
          <w:rFonts w:eastAsia="Times New Roman"/>
          <w:i/>
          <w:iCs/>
          <w:kern w:val="0"/>
          <w:lang w:eastAsia="fr-FR"/>
        </w:rPr>
        <w:t>Il est interdit, à l’avenir, d’élever ou d’apposer aucun signe ou emblème religieux sur les monuments publics ou en quelque emplacement public que ce soit, à l’exception des édifices servant au culte, des terrains de sépulture dans les cimetières, des monuments funéraires ainsi que des musées ou expositions</w:t>
      </w:r>
      <w:r w:rsidRPr="004F6E0B">
        <w:rPr>
          <w:rFonts w:eastAsia="Times New Roman"/>
          <w:kern w:val="0"/>
          <w:lang w:eastAsia="fr-FR"/>
        </w:rPr>
        <w:t> ». Ces dernières dispositions, qui ont pour objet d’assurer la neutralité des personnes publiques à l’égard des cultes, s’opposent à l’installation par celles-ci, dans un emplacement public, d’un signe ou emblème manifestant la reconnaissance d’un culte ou marquant une préférence religieuse. Elles ménagent néanmoins des exceptions à cette interdiction. Ainsi, est notamment réservée la possibilité pour les personnes publiques d’apposer de tels signes ou emblèmes dans un emplacement public à titre d’exposition. En outre, en prévoyant que l’interdiction qu’il a édictée ne s’appliquerait que pour l’avenir, le législateur a préservé les signes et emblèmes religieux existants à la date de l’entrée en vigueur de la loi.</w:t>
      </w:r>
    </w:p>
    <w:p w14:paraId="2A0899CE"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 xml:space="preserve">4. Une crèche de Noël est une représentation susceptible de revêtir une pluralité de significations. Il s’agit en effet d’une scène qui fait partie de l’iconographie chrétienne et qui, </w:t>
      </w:r>
      <w:proofErr w:type="spellStart"/>
      <w:r w:rsidRPr="004F6E0B">
        <w:rPr>
          <w:rFonts w:eastAsia="Times New Roman"/>
          <w:kern w:val="0"/>
          <w:lang w:eastAsia="fr-FR"/>
        </w:rPr>
        <w:t>par là</w:t>
      </w:r>
      <w:proofErr w:type="spellEnd"/>
      <w:r w:rsidRPr="004F6E0B">
        <w:rPr>
          <w:rFonts w:eastAsia="Times New Roman"/>
          <w:kern w:val="0"/>
          <w:lang w:eastAsia="fr-FR"/>
        </w:rPr>
        <w:t>, présente un caractère religieux. Mais il s’agit aussi d’un élément faisant partie des décorations et illustrations qui accompagnent traditionnellement, sans signification religieuse particulière, les fêtes de fin d’année.</w:t>
      </w:r>
    </w:p>
    <w:p w14:paraId="27014DC0"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5. Eu égard à cette pluralité de significations, l’installation d’une crèche de Noël, à titre temporaire, à l’initiative d’une personne publique, dans un emplacement public, n’est légalement possible que lorsqu’elle présente un caractère culturel, artistique ou festif, sans exprimer la reconnaissance d’un culte ou marquer une préférence religieuse. Pour porter cette dernière appréciation, il y a lieu de tenir compte non seulement du contexte, qui doit être dépourvu de tout élément de prosélytisme, des conditions particulières de cette installation, de l’existence ou de l’absence d’usages locaux, mais aussi du lieu de cette installation. A cet égard, la situation est différente, selon qu’il s’agit d’un bâtiment public, siège d’une collectivité publique ou d’un service public, ou d’un autre emplacement public.</w:t>
      </w:r>
    </w:p>
    <w:p w14:paraId="78109763"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6. Dans l’enceinte des bâtiments publics, sièges d’une collectivité publique ou d’un service public, le fait pour une personne publique de procéder à l’installation d’une crèche de Noël ne peut, en l’absence de circonstances particulières permettant de lui reconnaître un caractère culturel, artistique ou festif, être regardé comme conforme aux exigences qui découlent du principe de neutralité des personnes publiques.</w:t>
      </w:r>
    </w:p>
    <w:p w14:paraId="2F8CAC99"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7. A l’inverse, dans les autres emplacements publics, eu égard au caractère festif des installations liées aux fêtes de fin d’année notamment sur la voie publique, l’installation à cette occasion et durant cette période d’une crèche de Noël par une personne publique est possible, dès lors qu’elle ne constitue pas un acte de prosélytisme ou de revendication d’une opinion religieuse</w:t>
      </w:r>
    </w:p>
    <w:p w14:paraId="42C63855"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8. Il ressort des énonciations de l’arrêt attaqué que, pour juger que la crèche installée dans l’enceinte de l’hôtel de ville de la commune de Melun revêtait le caractère d’un signe ou emblème religieux dont l’installation est interdite par l’article 28 de la loi du 9 décembre 1905, la cour administrative d’appel de Paris s’est bornée à relever que cette installation constituait la représentation figurative d’une scène fondatrice de la religion chrétienne. En se fondant sur ces seules constatations pour en déduire qu’elle méconnaissait l’article 28 de la loi du 9 décembre 1905, elle a entaché son arrêt d’erreur de droit.</w:t>
      </w:r>
    </w:p>
    <w:p w14:paraId="496BEB0C"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9. Il résulte de ce qui précède que la commune de Melun est fondée à demander l’annulation de l’arrêt qu’elle attaque.</w:t>
      </w:r>
    </w:p>
    <w:p w14:paraId="4C2500DA"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10. Il y a lieu, dans les circonstances de l’espèce, de régler l’affaire au fond en application de l’article L. 821-2 du code de justice administrative.</w:t>
      </w:r>
    </w:p>
    <w:p w14:paraId="429E8EB3"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11. Il ressort des pièces du dossier que, pendant la période des fêtes de la fin de l’année 2012, le maire de Melun a installé une crèche de Noël dans une alcôve située sous le porche reliant la cour d’honneur au jardin de l’hôtel de ville de Melun et permettant l’accès des usagers aux services publics municipaux. L’installation de cette crèche dans l’enceinte de ce bâtiment public, siège d’une collectivité publique, ne résultait d’aucun usage local et n’était accompagnée d’aucun autre élément marquant son inscription dans un environnement culturel, artistique ou festif. Il s’ensuit que le fait pour le maire de Melun d’avoir procédé à cette installation dans l’enceinte d’un bâtiment public, siège d’une collectivité publique, en l’absence de circonstances particulières permettant de lui reconnaître un caractère culturel, artistique ou festif, a méconnu l’article 28 de la loi du 9 décembre 1905 et les exigences attachées au principe de neutralité des personnes publiques.</w:t>
      </w:r>
    </w:p>
    <w:p w14:paraId="57D54B42"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 xml:space="preserve">12. Il résulte de qui précède que la Fédération des libres penseurs de Seine-et-Marne, qui a intérêt pour agir, contrairement à ce qui est soutenu dans la fin de </w:t>
      </w:r>
      <w:proofErr w:type="spellStart"/>
      <w:r w:rsidRPr="004F6E0B">
        <w:rPr>
          <w:rFonts w:eastAsia="Times New Roman"/>
          <w:kern w:val="0"/>
          <w:lang w:eastAsia="fr-FR"/>
        </w:rPr>
        <w:t>non recevoir</w:t>
      </w:r>
      <w:proofErr w:type="spellEnd"/>
      <w:r w:rsidRPr="004F6E0B">
        <w:rPr>
          <w:rFonts w:eastAsia="Times New Roman"/>
          <w:kern w:val="0"/>
          <w:lang w:eastAsia="fr-FR"/>
        </w:rPr>
        <w:t xml:space="preserve"> opposée par la commune de Melun, est fondée à soutenir que c’est à tort que, par le jugement du 22 décembre 2014, le tribunal administratif de Melun a rejeté sa demande et à demander l’annulation de la décision attaquée.</w:t>
      </w:r>
    </w:p>
    <w:p w14:paraId="2CB501D6"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13. Il y a lieu, dans les circonstances de l’espèce, de mettre à la charge de la commune de Melun une somme de 3000 euros à verser à la Fédération des libres penseurs de Seine-et-Marne au titre de l’article L. 761-1 du code de justice administrative. Ces dispositions font en revanche obstacle à ce qu’une somme soit mise à ce titre à la charge la Fédération des libres penseurs de Seine-et-Marne qui n’est pas, dans la présente instance, la partie perdante.</w:t>
      </w:r>
    </w:p>
    <w:p w14:paraId="371446EF"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D E C I D E :</w:t>
      </w:r>
    </w:p>
    <w:p w14:paraId="1FF210A6" w14:textId="77777777" w:rsidR="00C24E8B" w:rsidRPr="004F6E0B" w:rsidRDefault="00C24E8B" w:rsidP="00C24E8B">
      <w:pPr>
        <w:widowControl/>
        <w:suppressAutoHyphens w:val="0"/>
        <w:spacing w:before="100" w:beforeAutospacing="1" w:after="100" w:afterAutospacing="1"/>
        <w:rPr>
          <w:rFonts w:eastAsia="Times New Roman"/>
          <w:kern w:val="0"/>
          <w:lang w:eastAsia="fr-FR"/>
        </w:rPr>
      </w:pPr>
      <w:r w:rsidRPr="004F6E0B">
        <w:rPr>
          <w:rFonts w:eastAsia="Times New Roman"/>
          <w:kern w:val="0"/>
          <w:lang w:eastAsia="fr-FR"/>
        </w:rPr>
        <w:t>Article 1</w:t>
      </w:r>
      <w:r w:rsidRPr="004F6E0B">
        <w:rPr>
          <w:rFonts w:eastAsia="Times New Roman"/>
          <w:kern w:val="0"/>
          <w:vertAlign w:val="superscript"/>
          <w:lang w:eastAsia="fr-FR"/>
        </w:rPr>
        <w:t>er</w:t>
      </w:r>
      <w:r w:rsidRPr="004F6E0B">
        <w:rPr>
          <w:rFonts w:eastAsia="Times New Roman"/>
          <w:kern w:val="0"/>
          <w:lang w:eastAsia="fr-FR"/>
        </w:rPr>
        <w:t> : L’intervention de l’association EGALE n’est pas admise.</w:t>
      </w:r>
      <w:r w:rsidRPr="004F6E0B">
        <w:rPr>
          <w:rFonts w:eastAsia="Times New Roman"/>
          <w:kern w:val="0"/>
          <w:lang w:eastAsia="fr-FR"/>
        </w:rPr>
        <w:br/>
        <w:t>Article 2 : L’arrêt de la cour administrative d’appel de Paris du 8 octobre 2015 et le jugement du 22 décembre 2014 du tribunal administratif de Melun sont annulés.</w:t>
      </w:r>
      <w:r w:rsidRPr="004F6E0B">
        <w:rPr>
          <w:rFonts w:eastAsia="Times New Roman"/>
          <w:kern w:val="0"/>
          <w:lang w:eastAsia="fr-FR"/>
        </w:rPr>
        <w:br/>
        <w:t>Article 3 : La décision du maire de Melun d’installer une crèche de Noël dans l’enceinte de l’hôtel de ville de cette commune durant le mois de décembre 2012 est annulée.</w:t>
      </w:r>
      <w:r w:rsidRPr="004F6E0B">
        <w:rPr>
          <w:rFonts w:eastAsia="Times New Roman"/>
          <w:kern w:val="0"/>
          <w:lang w:eastAsia="fr-FR"/>
        </w:rPr>
        <w:br/>
        <w:t>Article 4 : La commune de Melun versera à la Fédération départementale des libres penseurs de Seine-et-Marne une somme de 3000 euros au titre de l’article L. 761-1 du code de justice administrative.</w:t>
      </w:r>
      <w:r w:rsidRPr="004F6E0B">
        <w:rPr>
          <w:rFonts w:eastAsia="Times New Roman"/>
          <w:kern w:val="0"/>
          <w:lang w:eastAsia="fr-FR"/>
        </w:rPr>
        <w:br/>
        <w:t>Article 5 : Les conclusions présentées par la commune de Melun au titre de l’article L. 761-1 du code de justice administrative sont rejetées.</w:t>
      </w:r>
      <w:r w:rsidRPr="004F6E0B">
        <w:rPr>
          <w:rFonts w:eastAsia="Times New Roman"/>
          <w:kern w:val="0"/>
          <w:lang w:eastAsia="fr-FR"/>
        </w:rPr>
        <w:br/>
        <w:t>Article 6 : La présente décision sera notifiée à la commune de Melun, à la Fédération départementale des libres penseurs de Seine-et-Marne et au ministre de l’intérieur.</w:t>
      </w:r>
    </w:p>
    <w:p w14:paraId="2163FA7E" w14:textId="77777777" w:rsidR="00C24E8B" w:rsidRDefault="00C24E8B" w:rsidP="00D62AB2">
      <w:pPr>
        <w:spacing w:line="100" w:lineRule="atLeast"/>
        <w:jc w:val="both"/>
        <w:rPr>
          <w:b/>
          <w:bCs/>
          <w:i/>
          <w:iCs/>
          <w:color w:val="000000"/>
        </w:rPr>
      </w:pPr>
    </w:p>
    <w:p w14:paraId="4B9B7B3D" w14:textId="77777777" w:rsidR="00D62AB2" w:rsidRDefault="00D62AB2" w:rsidP="00D62AB2">
      <w:pPr>
        <w:spacing w:line="100" w:lineRule="atLeast"/>
        <w:jc w:val="both"/>
        <w:rPr>
          <w:color w:val="000000"/>
        </w:rPr>
      </w:pPr>
      <w:r>
        <w:rPr>
          <w:b/>
          <w:bCs/>
          <w:i/>
          <w:iCs/>
          <w:color w:val="000000"/>
        </w:rPr>
        <w:t>§2) Devoir de réserve</w:t>
      </w:r>
    </w:p>
    <w:p w14:paraId="26D3B70B" w14:textId="77777777" w:rsidR="00D62AB2" w:rsidRDefault="00D62AB2" w:rsidP="00D62AB2">
      <w:pPr>
        <w:spacing w:line="100" w:lineRule="atLeast"/>
        <w:jc w:val="both"/>
        <w:rPr>
          <w:color w:val="000000"/>
        </w:rPr>
      </w:pPr>
    </w:p>
    <w:p w14:paraId="2321D958" w14:textId="77777777" w:rsidR="00D62AB2" w:rsidRDefault="00D62AB2" w:rsidP="00D62AB2">
      <w:pPr>
        <w:spacing w:line="100" w:lineRule="atLeast"/>
        <w:jc w:val="both"/>
        <w:rPr>
          <w:color w:val="000000"/>
        </w:rPr>
      </w:pPr>
    </w:p>
    <w:p w14:paraId="649BCF39" w14:textId="6A3F0388" w:rsidR="00D62AB2" w:rsidRDefault="00D62AB2" w:rsidP="00D62AB2">
      <w:pPr>
        <w:spacing w:line="100" w:lineRule="atLeast"/>
        <w:jc w:val="both"/>
        <w:rPr>
          <w:color w:val="000000"/>
        </w:rPr>
      </w:pPr>
      <w:r>
        <w:rPr>
          <w:b/>
          <w:color w:val="000000"/>
        </w:rPr>
        <w:t xml:space="preserve">Document </w:t>
      </w:r>
      <w:r w:rsidR="00C24E8B">
        <w:rPr>
          <w:b/>
          <w:color w:val="000000"/>
        </w:rPr>
        <w:t>20</w:t>
      </w:r>
      <w:r>
        <w:rPr>
          <w:b/>
          <w:color w:val="000000"/>
        </w:rPr>
        <w:t> :</w:t>
      </w:r>
      <w:r>
        <w:rPr>
          <w:color w:val="000000"/>
        </w:rPr>
        <w:t xml:space="preserve"> CE, 11 janvier 2011, </w:t>
      </w:r>
      <w:proofErr w:type="spellStart"/>
      <w:r>
        <w:rPr>
          <w:color w:val="000000"/>
        </w:rPr>
        <w:t>Matelly</w:t>
      </w:r>
      <w:proofErr w:type="spellEnd"/>
    </w:p>
    <w:p w14:paraId="486997C5" w14:textId="77777777" w:rsidR="00D62AB2" w:rsidRDefault="00D62AB2" w:rsidP="00D62AB2">
      <w:pPr>
        <w:spacing w:line="100" w:lineRule="atLeast"/>
        <w:jc w:val="both"/>
        <w:rPr>
          <w:color w:val="000000"/>
        </w:rPr>
      </w:pPr>
    </w:p>
    <w:p w14:paraId="15F04725" w14:textId="77777777" w:rsidR="00D62AB2" w:rsidRDefault="00D62AB2" w:rsidP="00D62AB2">
      <w:pPr>
        <w:spacing w:line="100" w:lineRule="atLeast"/>
        <w:jc w:val="both"/>
        <w:rPr>
          <w:color w:val="000000"/>
        </w:rPr>
      </w:pPr>
      <w:r>
        <w:rPr>
          <w:color w:val="000000"/>
        </w:rPr>
        <w:t xml:space="preserve">Considérant que, selon l'article L. 4121-2 du code de la défense, relatif à l'exercice des droits civils et politiques des militaires : Les opinions ou croyances, notamment philosophiques, religieuses ou politiques, sont libres. / Elles ne peuvent cependant être exprimées qu'en dehors du service et avec la réserve exigée par l'état militaire. Cette règle s'applique à tous les moyens d'expression (...) ; qu'en vertu des dispositions combinées des articles L. 4137-1 et L. 4137-2 du même code, les fautes ou manquements commis par les militaires les exposent à des sanctions disciplinaires réparties en trois groupes et qui sont, respectivement, pour le premier : l'avertissement, la consigne, la réprimande, le blâme, les arrêts et le blâme du ministre ; pour le deuxième : l'exclusion temporaire de fonctions pour une durée maximale de cinq jours privative de toute rémunération, l'abaissement temporaire d'échelon et la radiation du tableau d'avancement ; et, enfin, pour le troisième groupe : le retrait d'emploi, défini par les dispositions de l'article L. 4138-15 et la radiation des cadres ; que l'article L. 4138-15 dispose que : Le retrait d'emploi par mise en non-activité est prononcé pour une durée qui ne peut excéder douze mois. (...) / Le temps passé dans la position de non-activité par retrait d'emploi ne compte ni pour l'avancement ni pour l'ouverture et la liquidation des droits à pension de retraite (...) ; </w:t>
      </w:r>
    </w:p>
    <w:p w14:paraId="3DE62378" w14:textId="77777777" w:rsidR="00D62AB2" w:rsidRDefault="00D62AB2" w:rsidP="00D62AB2">
      <w:pPr>
        <w:spacing w:line="100" w:lineRule="atLeast"/>
        <w:jc w:val="both"/>
        <w:rPr>
          <w:color w:val="000000"/>
        </w:rPr>
      </w:pPr>
    </w:p>
    <w:p w14:paraId="40EB81F1" w14:textId="77777777" w:rsidR="00D62AB2" w:rsidRDefault="00D62AB2" w:rsidP="00D62AB2">
      <w:pPr>
        <w:spacing w:line="100" w:lineRule="atLeast"/>
        <w:jc w:val="both"/>
        <w:rPr>
          <w:color w:val="000000"/>
        </w:rPr>
      </w:pPr>
      <w:r>
        <w:rPr>
          <w:color w:val="000000"/>
        </w:rPr>
        <w:t>Considérant que, par le décret contesté du 12 mars 2010, le Président de la République a, en application de ces dispositions, prononcé à l'encontre de M. A, chef d'escadron de la gendarmerie nationale, la radiation des cadres par mesure disciplinaire ; que cette sanction est motivée par le fait que cet officier, qui avait déjà fait l'objet en 2007 d'un blâme du ministre pour manquement à son devoir de réserve, a, d'une part, cosigné un article critiquant la politique gouvernementale de rattachement de la gendarmerie au ministère de l'intérieur, publié le 30 décembre 2008 sur un site internet d'information, et, d'autre part, participé le lendemain à une émission radiophonique portant sur le même thème ;</w:t>
      </w:r>
    </w:p>
    <w:p w14:paraId="25E4E21B" w14:textId="77777777" w:rsidR="00D62AB2" w:rsidRDefault="00D62AB2" w:rsidP="00D62AB2">
      <w:pPr>
        <w:spacing w:line="100" w:lineRule="atLeast"/>
        <w:jc w:val="both"/>
        <w:rPr>
          <w:color w:val="000000"/>
        </w:rPr>
      </w:pPr>
    </w:p>
    <w:p w14:paraId="58C2DA55" w14:textId="77777777" w:rsidR="00D62AB2" w:rsidRDefault="00D62AB2" w:rsidP="00D62AB2">
      <w:pPr>
        <w:spacing w:line="100" w:lineRule="atLeast"/>
        <w:jc w:val="both"/>
        <w:rPr>
          <w:color w:val="000000"/>
        </w:rPr>
      </w:pPr>
      <w:r>
        <w:rPr>
          <w:color w:val="000000"/>
        </w:rPr>
        <w:t xml:space="preserve">Considérant que les interventions médiatiques reprochées à M. A, critiquant directement la politique d'organisation des deux grands services français dédiés à la sécurité publique au moment même où celle-ci était en débat devant le Parlement, excédaient les limites que les militaires doivent respecter en raison de la réserve à laquelle ils sont tenus à l'égard des autorités publiques ; qu'elles sont ainsi de nature à justifier le prononcé de l'une des sanctions disciplinaires prévues par les articles L. 4137-1 et L. 4137-2 du code de la défense ; que ni la circonstance que l'intéressé collabore, avec l'accord de sa hiérarchie, à des travaux du Centre national de la recherche scientifique, qualité qui ne lui confère pas le statut de chercheur et ne lui permet en tout état de cause pas de se prévaloir de la liberté d'expression reconnue aux universitaires, ni celle qu'il occuperait un rang modeste dans la hiérarchie militaire ne sauraient l'exonérer de sa responsabilité quant aux propos ainsi tenus ; </w:t>
      </w:r>
    </w:p>
    <w:p w14:paraId="463ED561" w14:textId="77777777" w:rsidR="00D62AB2" w:rsidRDefault="00D62AB2" w:rsidP="00D62AB2">
      <w:pPr>
        <w:spacing w:line="100" w:lineRule="atLeast"/>
        <w:jc w:val="both"/>
        <w:rPr>
          <w:color w:val="000000"/>
        </w:rPr>
      </w:pPr>
    </w:p>
    <w:p w14:paraId="738CD6A8" w14:textId="77777777" w:rsidR="00D62AB2" w:rsidRDefault="00D62AB2" w:rsidP="00D62AB2">
      <w:pPr>
        <w:spacing w:line="100" w:lineRule="atLeast"/>
        <w:jc w:val="both"/>
        <w:rPr>
          <w:color w:val="000000"/>
        </w:rPr>
      </w:pPr>
      <w:r>
        <w:rPr>
          <w:color w:val="000000"/>
        </w:rPr>
        <w:t>Considérant toutefois qu'eu égard à l'ensemble des données de l'espèce et notamment à la teneur des propos tenus qui expriment une critique de fond présentée comme une défense du corps d'appartenance de l'intéressé et formulée en termes mesurés, sans caractère polémique, ainsi qu'à l'excellente manière de servir de cet officier attestée par les notations produites au dossier, l'autorité disciplinaire, qui disposait d'un éventail de sanctions de natures et de portées différentes, notamment de la possibilité de prendre, au sein même du troisième groupe de sanctions, une mesure de retrait d'emploi allant jusqu'à douze mois en vertu des dispositions de l'article L. 4138-15 du code de la défense, a, en faisant le choix de la plus lourde, celle de la radiation des cadres, qui met définitivement fin au lien entre le militaire et la gendarmerie, prononcé à l'encontre de ce dernier une sanction manifestement disproportionnée ; qu'il suit de là que M. A est fondé à demander l'annulation du décret attaqué ;</w:t>
      </w:r>
    </w:p>
    <w:p w14:paraId="7D13E4DC" w14:textId="3C91B7EE" w:rsidR="00D62AB2" w:rsidRDefault="00D62AB2" w:rsidP="00D62AB2">
      <w:pPr>
        <w:spacing w:line="100" w:lineRule="atLeast"/>
        <w:jc w:val="both"/>
        <w:rPr>
          <w:color w:val="000000"/>
        </w:rPr>
      </w:pPr>
    </w:p>
    <w:p w14:paraId="3277BB51" w14:textId="7EC08944" w:rsidR="004F6E0B" w:rsidRPr="00EA3512" w:rsidRDefault="00EA3512">
      <w:pPr>
        <w:rPr>
          <w:b/>
          <w:bCs/>
          <w:color w:val="000000"/>
          <w:sz w:val="26"/>
          <w:szCs w:val="26"/>
          <w:u w:val="single"/>
        </w:rPr>
      </w:pPr>
      <w:r w:rsidRPr="00EA3512">
        <w:rPr>
          <w:b/>
          <w:bCs/>
          <w:color w:val="000000"/>
          <w:sz w:val="26"/>
          <w:szCs w:val="26"/>
          <w:u w:val="single"/>
        </w:rPr>
        <w:t>III) Neutralité et usager</w:t>
      </w:r>
      <w:r>
        <w:rPr>
          <w:b/>
          <w:bCs/>
          <w:color w:val="000000"/>
          <w:sz w:val="26"/>
          <w:szCs w:val="26"/>
          <w:u w:val="single"/>
        </w:rPr>
        <w:t>s du service public</w:t>
      </w:r>
    </w:p>
    <w:p w14:paraId="315521B3" w14:textId="77777777" w:rsidR="00EA3512" w:rsidRDefault="00EA3512">
      <w:pPr>
        <w:rPr>
          <w:b/>
          <w:bCs/>
          <w:i/>
          <w:iCs/>
        </w:rPr>
      </w:pPr>
    </w:p>
    <w:p w14:paraId="5FF717F8" w14:textId="43293655" w:rsidR="004F6E0B" w:rsidRPr="004F6E0B" w:rsidRDefault="004F6E0B" w:rsidP="004F6E0B">
      <w:pPr>
        <w:spacing w:line="100" w:lineRule="atLeast"/>
        <w:jc w:val="both"/>
        <w:rPr>
          <w:b/>
          <w:sz w:val="26"/>
          <w:szCs w:val="26"/>
        </w:rPr>
      </w:pPr>
      <w:r w:rsidRPr="004F6E0B">
        <w:rPr>
          <w:b/>
        </w:rPr>
        <w:t>Document 2</w:t>
      </w:r>
      <w:r w:rsidR="00C24E8B">
        <w:rPr>
          <w:b/>
        </w:rPr>
        <w:t xml:space="preserve">2 </w:t>
      </w:r>
      <w:r w:rsidRPr="004F6E0B">
        <w:rPr>
          <w:b/>
          <w:sz w:val="26"/>
          <w:szCs w:val="26"/>
        </w:rPr>
        <w:t xml:space="preserve">: </w:t>
      </w:r>
      <w:r w:rsidRPr="004F6E0B">
        <w:rPr>
          <w:b/>
          <w:iCs/>
          <w:sz w:val="22"/>
          <w:szCs w:val="22"/>
        </w:rPr>
        <w:t xml:space="preserve">CE, 2 novembre 1992, Kherouaa </w:t>
      </w:r>
    </w:p>
    <w:p w14:paraId="06D10662" w14:textId="77777777" w:rsidR="004F6E0B" w:rsidRDefault="004F6E0B" w:rsidP="004F6E0B">
      <w:pPr>
        <w:widowControl/>
        <w:suppressAutoHyphens w:val="0"/>
        <w:rPr>
          <w:rFonts w:eastAsia="Times New Roman"/>
          <w:kern w:val="0"/>
          <w:lang w:eastAsia="fr-FR"/>
        </w:rPr>
      </w:pPr>
    </w:p>
    <w:p w14:paraId="134143BC" w14:textId="0D801C79" w:rsidR="004F6E0B" w:rsidRPr="004F6E0B" w:rsidRDefault="004F6E0B" w:rsidP="004F6E0B">
      <w:pPr>
        <w:widowControl/>
        <w:suppressAutoHyphens w:val="0"/>
        <w:rPr>
          <w:rFonts w:eastAsia="Times New Roman"/>
          <w:kern w:val="0"/>
          <w:lang w:eastAsia="fr-FR"/>
        </w:rPr>
      </w:pPr>
      <w:r w:rsidRPr="004F6E0B">
        <w:rPr>
          <w:rFonts w:eastAsia="Times New Roman"/>
          <w:kern w:val="0"/>
          <w:lang w:eastAsia="fr-FR"/>
        </w:rPr>
        <w:t>Considérant qu'aux termes de l'article 10 de la Déclaration des Droits de l'Homme et du Citoyen du 26 août 1789 : "Nul ne doit être inquiété pour ses opinions, même religieuses, pourvu que leur manifestation ne trouble pas l'ordre public établi par la loi." ; qu'aux termes de l'article 2 de la Constitution du 4 octobre 1958 : "La France est une République indivisible, laïque, démocratique et sociale. Elle assure l'égalité devant la loi de tous les citoyens sans distinction d'origine, de race ou de religion. Elle respecte toutes les croyances" ; qu'aux termes de l'article 10 de la loi du 10 juillet 1989 susvisée : "Dans les collèges et lycées, les élèves disposent, dans le respect du pluralisme et du principe de neutralité, de la liberté d'information et de la liberté d'expression. L'exercice de ces libertés ne peut porter atteinte aux activités d'enseignement." ;</w:t>
      </w:r>
    </w:p>
    <w:p w14:paraId="28F5ECD0" w14:textId="77777777" w:rsidR="004F6E0B" w:rsidRDefault="004F6E0B" w:rsidP="004F6E0B">
      <w:pPr>
        <w:widowControl/>
        <w:suppressAutoHyphens w:val="0"/>
        <w:rPr>
          <w:rFonts w:eastAsia="Times New Roman"/>
          <w:kern w:val="0"/>
          <w:lang w:eastAsia="fr-FR"/>
        </w:rPr>
      </w:pPr>
    </w:p>
    <w:p w14:paraId="49D048FB" w14:textId="1BEE8877" w:rsidR="004F6E0B" w:rsidRPr="004F6E0B" w:rsidRDefault="004F6E0B" w:rsidP="004F6E0B">
      <w:pPr>
        <w:widowControl/>
        <w:suppressAutoHyphens w:val="0"/>
        <w:rPr>
          <w:rFonts w:eastAsia="Times New Roman"/>
          <w:kern w:val="0"/>
          <w:lang w:eastAsia="fr-FR"/>
        </w:rPr>
      </w:pPr>
      <w:r w:rsidRPr="004F6E0B">
        <w:rPr>
          <w:rFonts w:eastAsia="Times New Roman"/>
          <w:kern w:val="0"/>
          <w:lang w:eastAsia="fr-FR"/>
        </w:rPr>
        <w:t>Considérant que le principe de la laïcité de l'enseignement public qui résulte notamment des dispositions précitées et qui est l'un des éléments de la laïcité de l'Etat et de la neutralité de l'ensemble des services publics, impose que l'enseignement soit dispensé dans le respect, d'une part, de cette neutralité par les programmes et par les enseignants et, d'autre part, de la liberté de conscience des élèves ; qu'il interdit conformément aux principes rappelés par les mêmes textes et les engagements internationaux de la France toute discrimination dans l'accès à l'enseignement qui serait fondée sur les convictions ou croyances religieuses des élèves ; que la liberté ainsi reconnue aux élèves comporte pour eux le droit d'exprimer et de manifester leurs croyances religieuses à l'intérieur des établissements scolaires, dans le respect du pluralisme et de la liberté d'autrui, et sans qu'il soit porté atteinte aux activités d'enseignement, au contenu des programmes et à l'obligation d'assiduité ; que, dans les établissements scolaires, le port par les élèves de signes par lesquels ils entendent manifester leur appartenance à une religion n'est pas par lui-même incompatible avec le principe de laïcité, dans la mesure où il constitue l'exercice de la liberté d'expression et de manifestation de croyances religieuses, mais que cette liberté ne saurait permettre aux élèves d'arborer des signes d'appartenance religieuse qui, par leur nature, par les conditions dans lesquelles ils seraient portés individuellement ou collectivement, ou par leur caractère ostentatoire ou revendicatif, constitueraient un acte de pression, de provocation, de prosélytisme ou de propagande, porteraient atteinte à la dignité ou à la liberté de l'élève ou d'autres membres de la communauté éducative, compromettraient leur santé ou leur sécurité, perturberaient le déroulement des activités d'enseignement et le rôle éducatif des enseignants, enfin troubleraient l'ordre dans l'établissement ou le fonctionnement normal du service public ;</w:t>
      </w:r>
    </w:p>
    <w:p w14:paraId="156DC627" w14:textId="77777777" w:rsidR="004F6E0B" w:rsidRDefault="004F6E0B" w:rsidP="004F6E0B">
      <w:pPr>
        <w:widowControl/>
        <w:suppressAutoHyphens w:val="0"/>
        <w:rPr>
          <w:rFonts w:eastAsia="Times New Roman"/>
          <w:kern w:val="0"/>
          <w:lang w:eastAsia="fr-FR"/>
        </w:rPr>
      </w:pPr>
    </w:p>
    <w:p w14:paraId="4B61A9AC" w14:textId="7CB70CAA" w:rsidR="004F6E0B" w:rsidRDefault="004F6E0B" w:rsidP="004F6E0B">
      <w:pPr>
        <w:widowControl/>
        <w:suppressAutoHyphens w:val="0"/>
        <w:rPr>
          <w:rFonts w:eastAsia="Times New Roman"/>
          <w:kern w:val="0"/>
          <w:lang w:eastAsia="fr-FR"/>
        </w:rPr>
      </w:pPr>
      <w:r w:rsidRPr="004F6E0B">
        <w:rPr>
          <w:rFonts w:eastAsia="Times New Roman"/>
          <w:kern w:val="0"/>
          <w:lang w:eastAsia="fr-FR"/>
        </w:rPr>
        <w:t xml:space="preserve">Considérant que l'article 13 du règlement intérieur du collège Jean Jaurès de Montfermeil, </w:t>
      </w:r>
    </w:p>
    <w:p w14:paraId="568C9C2D" w14:textId="4C88E218" w:rsidR="004F6E0B" w:rsidRPr="004F6E0B" w:rsidRDefault="004F6E0B" w:rsidP="004F6E0B">
      <w:pPr>
        <w:widowControl/>
        <w:suppressAutoHyphens w:val="0"/>
        <w:rPr>
          <w:rFonts w:eastAsia="Times New Roman"/>
          <w:kern w:val="0"/>
          <w:lang w:eastAsia="fr-FR"/>
        </w:rPr>
      </w:pPr>
      <w:r w:rsidRPr="004F6E0B">
        <w:rPr>
          <w:rFonts w:eastAsia="Times New Roman"/>
          <w:kern w:val="0"/>
          <w:lang w:eastAsia="fr-FR"/>
        </w:rPr>
        <w:t>dans la rédaction qui lui a été donnée par une décision du 30 novembre 1990, dispose que "le</w:t>
      </w:r>
      <w:r>
        <w:rPr>
          <w:rFonts w:eastAsia="Times New Roman"/>
          <w:kern w:val="0"/>
          <w:lang w:eastAsia="fr-FR"/>
        </w:rPr>
        <w:t xml:space="preserve"> </w:t>
      </w:r>
      <w:r w:rsidRPr="004F6E0B">
        <w:rPr>
          <w:rFonts w:eastAsia="Times New Roman"/>
          <w:kern w:val="0"/>
          <w:lang w:eastAsia="fr-FR"/>
        </w:rPr>
        <w:t>port de tout signe distinctif, vestimentaire ou autre, d'ordre religieux, politique ou philosophique est strictement interdit" ; que, par la généralité de ses termes, ledit article institue une interdiction générale et absolue en méconnaissance des principes ci-dessus rappelés et notamment de la liberté d'expression reconnue aux élèves et garantie par les principes de neutralité et de laïcité de l'enseignement public ; que les requérants sont, par suite, fondés à en demander l'annulation ;</w:t>
      </w:r>
    </w:p>
    <w:p w14:paraId="234473AE" w14:textId="77777777" w:rsidR="004F6E0B" w:rsidRDefault="004F6E0B" w:rsidP="004F6E0B">
      <w:pPr>
        <w:widowControl/>
        <w:suppressAutoHyphens w:val="0"/>
        <w:rPr>
          <w:rFonts w:eastAsia="Times New Roman"/>
          <w:kern w:val="0"/>
          <w:lang w:eastAsia="fr-FR"/>
        </w:rPr>
      </w:pPr>
    </w:p>
    <w:p w14:paraId="6B503FC3" w14:textId="3A567E9F" w:rsidR="004F6E0B" w:rsidRPr="004F6E0B" w:rsidRDefault="004F6E0B" w:rsidP="004F6E0B">
      <w:pPr>
        <w:widowControl/>
        <w:suppressAutoHyphens w:val="0"/>
        <w:rPr>
          <w:rFonts w:eastAsia="Times New Roman"/>
          <w:kern w:val="0"/>
          <w:lang w:eastAsia="fr-FR"/>
        </w:rPr>
      </w:pPr>
      <w:r w:rsidRPr="004F6E0B">
        <w:rPr>
          <w:rFonts w:eastAsia="Times New Roman"/>
          <w:kern w:val="0"/>
          <w:lang w:eastAsia="fr-FR"/>
        </w:rPr>
        <w:t xml:space="preserve">Sur les conclusions dirigées contre les décisions du recteur de l'académie de Créteil en date du 11 mars 1991, confirmant les décisions du conseil de discipline du collège Jean Jaurès de Montfermeil, prononçant l'exclusion définitive de Mlles Samira </w:t>
      </w:r>
      <w:proofErr w:type="gramStart"/>
      <w:r w:rsidRPr="004F6E0B">
        <w:rPr>
          <w:rFonts w:eastAsia="Times New Roman"/>
          <w:kern w:val="0"/>
          <w:lang w:eastAsia="fr-FR"/>
        </w:rPr>
        <w:t>Z...</w:t>
      </w:r>
      <w:proofErr w:type="gramEnd"/>
      <w:r w:rsidRPr="004F6E0B">
        <w:rPr>
          <w:rFonts w:eastAsia="Times New Roman"/>
          <w:kern w:val="0"/>
          <w:lang w:eastAsia="fr-FR"/>
        </w:rPr>
        <w:t xml:space="preserve">, </w:t>
      </w:r>
      <w:proofErr w:type="spellStart"/>
      <w:r w:rsidRPr="004F6E0B">
        <w:rPr>
          <w:rFonts w:eastAsia="Times New Roman"/>
          <w:kern w:val="0"/>
          <w:lang w:eastAsia="fr-FR"/>
        </w:rPr>
        <w:t>Hatice</w:t>
      </w:r>
      <w:proofErr w:type="spellEnd"/>
      <w:r w:rsidRPr="004F6E0B">
        <w:rPr>
          <w:rFonts w:eastAsia="Times New Roman"/>
          <w:kern w:val="0"/>
          <w:lang w:eastAsia="fr-FR"/>
        </w:rPr>
        <w:t xml:space="preserve"> et Ayse X... :</w:t>
      </w:r>
    </w:p>
    <w:p w14:paraId="00AB1EBE" w14:textId="77777777" w:rsidR="004F6E0B" w:rsidRPr="004F6E0B" w:rsidRDefault="004F6E0B" w:rsidP="004F6E0B">
      <w:pPr>
        <w:widowControl/>
        <w:suppressAutoHyphens w:val="0"/>
        <w:rPr>
          <w:rFonts w:eastAsia="Times New Roman"/>
          <w:kern w:val="0"/>
          <w:lang w:eastAsia="fr-FR"/>
        </w:rPr>
      </w:pPr>
      <w:r w:rsidRPr="004F6E0B">
        <w:rPr>
          <w:rFonts w:eastAsia="Times New Roman"/>
          <w:kern w:val="0"/>
          <w:lang w:eastAsia="fr-FR"/>
        </w:rPr>
        <w:t>Sans qu'il soit besoin de statuer sur l'autre moyen invoqué au soutien desdites conclusions :</w:t>
      </w:r>
    </w:p>
    <w:p w14:paraId="40186CAE" w14:textId="77777777" w:rsidR="004F6E0B" w:rsidRDefault="004F6E0B" w:rsidP="004F6E0B">
      <w:pPr>
        <w:widowControl/>
        <w:suppressAutoHyphens w:val="0"/>
        <w:rPr>
          <w:rFonts w:eastAsia="Times New Roman"/>
          <w:kern w:val="0"/>
          <w:lang w:eastAsia="fr-FR"/>
        </w:rPr>
      </w:pPr>
    </w:p>
    <w:p w14:paraId="3FC71F16" w14:textId="14168C7E" w:rsidR="004F6E0B" w:rsidRPr="004F6E0B" w:rsidRDefault="004F6E0B" w:rsidP="004F6E0B">
      <w:pPr>
        <w:widowControl/>
        <w:suppressAutoHyphens w:val="0"/>
        <w:rPr>
          <w:rFonts w:eastAsia="Times New Roman"/>
          <w:kern w:val="0"/>
          <w:lang w:eastAsia="fr-FR"/>
        </w:rPr>
      </w:pPr>
      <w:r w:rsidRPr="004F6E0B">
        <w:rPr>
          <w:rFonts w:eastAsia="Times New Roman"/>
          <w:kern w:val="0"/>
          <w:lang w:eastAsia="fr-FR"/>
        </w:rPr>
        <w:t>Considérant qu'à la suite de l'entrée en vigueur des dispositions précitées de l'article 13 du règlement intérieur du collège, les filles des requérants se sont vu refuser l'accès aux salles de classe et aux cours d'éducation physique, puis ont été définitivement exclues du collège au motif que le port d'un foulard couvrant leur chevelure constituait une violation desdites dispositions ; qu'ainsi, sans qu'il soit établi ni même allégué que les conditions dans lesquelles était porté en l'espèce un foulard qualifié de signe d'appartenance religieuse aient été de nature à conférer au port de ce foulard par les intéressées le caractère d'un acte de pression, de provocation, de prosélytisme ou de propagande, à porter atteinte à la dignité, à la liberté, à la santé ou à la sécurité des élèves, ou à perturber l'ordre dans l'établissement ou le déroulement des activités d'enseignement, les décisions d'exclusion contestées ont été prises sur le seul fondement des dispositions de l'article 13 du règlement intérieur qui sont, en raison de la généralité de leurs termes, illégales, ainsi qu'il a été dit ci-dessus ; que, par suite, lesdites décisions sont elles-mêmes entachées d'excès de pouvoir ;</w:t>
      </w:r>
    </w:p>
    <w:p w14:paraId="2C9A7CCB" w14:textId="77777777" w:rsidR="004F6E0B" w:rsidRDefault="004F6E0B" w:rsidP="004F6E0B">
      <w:pPr>
        <w:rPr>
          <w:rFonts w:eastAsia="Times New Roman"/>
          <w:kern w:val="0"/>
          <w:lang w:eastAsia="fr-FR"/>
        </w:rPr>
      </w:pPr>
    </w:p>
    <w:p w14:paraId="7D863270" w14:textId="77777777" w:rsidR="004F6E0B" w:rsidRDefault="004F6E0B" w:rsidP="004F6E0B">
      <w:pPr>
        <w:rPr>
          <w:rFonts w:eastAsia="Times New Roman"/>
          <w:kern w:val="0"/>
          <w:lang w:eastAsia="fr-FR"/>
        </w:rPr>
      </w:pPr>
      <w:r w:rsidRPr="004F6E0B">
        <w:rPr>
          <w:rFonts w:eastAsia="Times New Roman"/>
          <w:kern w:val="0"/>
          <w:lang w:eastAsia="fr-FR"/>
        </w:rPr>
        <w:t xml:space="preserve">Considérant qu'il résulte de tout ce qui précède que M. Z..., Mme Y..., M. X... et Mme A... sont fondés à soutenir que c'est à tort que, par le jugement attaqué, le tribunal administratif de Paris a rejeté leurs conclusions tendant à l'annulation de l'article 13 du règlement intérieur du collège Jean Jaurès de Montfermeil et des décisions du recteur de l'académie de Créteil confirmant les décisions d'exclusion de ce collège prises en ce qui concerne leurs filles Samira Z... et </w:t>
      </w:r>
      <w:proofErr w:type="spellStart"/>
      <w:r w:rsidRPr="004F6E0B">
        <w:rPr>
          <w:rFonts w:eastAsia="Times New Roman"/>
          <w:kern w:val="0"/>
          <w:lang w:eastAsia="fr-FR"/>
        </w:rPr>
        <w:t>Hatice</w:t>
      </w:r>
      <w:proofErr w:type="spellEnd"/>
      <w:r w:rsidRPr="004F6E0B">
        <w:rPr>
          <w:rFonts w:eastAsia="Times New Roman"/>
          <w:kern w:val="0"/>
          <w:lang w:eastAsia="fr-FR"/>
        </w:rPr>
        <w:t xml:space="preserve"> et Ayse X... ;</w:t>
      </w:r>
      <w:r w:rsidRPr="004F6E0B">
        <w:rPr>
          <w:rFonts w:eastAsia="Times New Roman"/>
          <w:kern w:val="0"/>
          <w:lang w:eastAsia="fr-FR"/>
        </w:rPr>
        <w:br/>
      </w:r>
    </w:p>
    <w:p w14:paraId="1C5BA5E6" w14:textId="77777777" w:rsidR="004F6E0B" w:rsidRDefault="004F6E0B" w:rsidP="004F6E0B">
      <w:pPr>
        <w:rPr>
          <w:rFonts w:eastAsia="Times New Roman"/>
          <w:kern w:val="0"/>
          <w:lang w:eastAsia="fr-FR"/>
        </w:rPr>
      </w:pPr>
      <w:r w:rsidRPr="004F6E0B">
        <w:rPr>
          <w:rFonts w:eastAsia="Times New Roman"/>
          <w:kern w:val="0"/>
          <w:lang w:eastAsia="fr-FR"/>
        </w:rPr>
        <w:t xml:space="preserve">Article 1er : Le jugement du tribunal administratif de Paris en date du 2 juillet 1991 est annulé en tant qu'il rejette les conclusions de M. </w:t>
      </w:r>
      <w:proofErr w:type="gramStart"/>
      <w:r w:rsidRPr="004F6E0B">
        <w:rPr>
          <w:rFonts w:eastAsia="Times New Roman"/>
          <w:kern w:val="0"/>
          <w:lang w:eastAsia="fr-FR"/>
        </w:rPr>
        <w:t>Z...</w:t>
      </w:r>
      <w:proofErr w:type="gramEnd"/>
      <w:r w:rsidRPr="004F6E0B">
        <w:rPr>
          <w:rFonts w:eastAsia="Times New Roman"/>
          <w:kern w:val="0"/>
          <w:lang w:eastAsia="fr-FR"/>
        </w:rPr>
        <w:t xml:space="preserve">, de Mme Y..., de M. X... et de Mme A... tendant à l'annulation de l'article 13 du règlement intérieur du collège Jean Jaurès de Montfermeil et des décisions d'exclusion prises à l'encontre de leurs filles Samira, </w:t>
      </w:r>
      <w:proofErr w:type="spellStart"/>
      <w:r w:rsidRPr="004F6E0B">
        <w:rPr>
          <w:rFonts w:eastAsia="Times New Roman"/>
          <w:kern w:val="0"/>
          <w:lang w:eastAsia="fr-FR"/>
        </w:rPr>
        <w:t>Hatice</w:t>
      </w:r>
      <w:proofErr w:type="spellEnd"/>
      <w:r w:rsidRPr="004F6E0B">
        <w:rPr>
          <w:rFonts w:eastAsia="Times New Roman"/>
          <w:kern w:val="0"/>
          <w:lang w:eastAsia="fr-FR"/>
        </w:rPr>
        <w:t xml:space="preserve"> et Ayse.</w:t>
      </w:r>
      <w:r w:rsidRPr="004F6E0B">
        <w:rPr>
          <w:rFonts w:eastAsia="Times New Roman"/>
          <w:kern w:val="0"/>
          <w:lang w:eastAsia="fr-FR"/>
        </w:rPr>
        <w:br/>
      </w:r>
    </w:p>
    <w:p w14:paraId="4C884E26" w14:textId="242AE338" w:rsidR="004F6E0B" w:rsidRDefault="004F6E0B" w:rsidP="004F6E0B">
      <w:pPr>
        <w:rPr>
          <w:rFonts w:eastAsia="Times New Roman"/>
          <w:kern w:val="0"/>
          <w:lang w:eastAsia="fr-FR"/>
        </w:rPr>
      </w:pPr>
      <w:r w:rsidRPr="004F6E0B">
        <w:rPr>
          <w:rFonts w:eastAsia="Times New Roman"/>
          <w:kern w:val="0"/>
          <w:lang w:eastAsia="fr-FR"/>
        </w:rPr>
        <w:t xml:space="preserve">Article 2 : L'article 13 du règlement intérieur du collège Jean Jaurès de Montfermeil dans sa rédaction adoptée le 30 novembre 1990 et les décisions du recteur de l'académie de Créteil du 11 mars 1991 confirmant les décisions du 14 décembre 1990 par lesquelles le conseil de discipline dudit collège a définitivement exclu Mlles Samira </w:t>
      </w:r>
      <w:proofErr w:type="gramStart"/>
      <w:r w:rsidRPr="004F6E0B">
        <w:rPr>
          <w:rFonts w:eastAsia="Times New Roman"/>
          <w:kern w:val="0"/>
          <w:lang w:eastAsia="fr-FR"/>
        </w:rPr>
        <w:t>Z...</w:t>
      </w:r>
      <w:proofErr w:type="gramEnd"/>
      <w:r w:rsidRPr="004F6E0B">
        <w:rPr>
          <w:rFonts w:eastAsia="Times New Roman"/>
          <w:kern w:val="0"/>
          <w:lang w:eastAsia="fr-FR"/>
        </w:rPr>
        <w:t xml:space="preserve">, </w:t>
      </w:r>
      <w:proofErr w:type="spellStart"/>
      <w:r w:rsidRPr="004F6E0B">
        <w:rPr>
          <w:rFonts w:eastAsia="Times New Roman"/>
          <w:kern w:val="0"/>
          <w:lang w:eastAsia="fr-FR"/>
        </w:rPr>
        <w:t>Hatice</w:t>
      </w:r>
      <w:proofErr w:type="spellEnd"/>
      <w:r w:rsidRPr="004F6E0B">
        <w:rPr>
          <w:rFonts w:eastAsia="Times New Roman"/>
          <w:kern w:val="0"/>
          <w:lang w:eastAsia="fr-FR"/>
        </w:rPr>
        <w:t xml:space="preserve"> et Ayse X... de cet établissement sont annulés.</w:t>
      </w:r>
      <w:r w:rsidRPr="004F6E0B">
        <w:rPr>
          <w:rFonts w:eastAsia="Times New Roman"/>
          <w:kern w:val="0"/>
          <w:lang w:eastAsia="fr-FR"/>
        </w:rPr>
        <w:br/>
      </w:r>
    </w:p>
    <w:p w14:paraId="2EDFEF96" w14:textId="2049DBF7" w:rsidR="004F6E0B" w:rsidRPr="004F6E0B" w:rsidRDefault="004F6E0B" w:rsidP="004F6E0B">
      <w:pPr>
        <w:rPr>
          <w:b/>
          <w:bCs/>
          <w:i/>
          <w:iCs/>
        </w:rPr>
      </w:pPr>
      <w:r w:rsidRPr="004F6E0B">
        <w:rPr>
          <w:rFonts w:eastAsia="Times New Roman"/>
          <w:kern w:val="0"/>
          <w:lang w:eastAsia="fr-FR"/>
        </w:rPr>
        <w:t xml:space="preserve">Article 3 : La présente décision sera notifiée à M. </w:t>
      </w:r>
      <w:proofErr w:type="gramStart"/>
      <w:r w:rsidRPr="004F6E0B">
        <w:rPr>
          <w:rFonts w:eastAsia="Times New Roman"/>
          <w:kern w:val="0"/>
          <w:lang w:eastAsia="fr-FR"/>
        </w:rPr>
        <w:t>Z...</w:t>
      </w:r>
      <w:proofErr w:type="gramEnd"/>
      <w:r w:rsidRPr="004F6E0B">
        <w:rPr>
          <w:rFonts w:eastAsia="Times New Roman"/>
          <w:kern w:val="0"/>
          <w:lang w:eastAsia="fr-FR"/>
        </w:rPr>
        <w:t>, à Mme Y..., à M. X..., à Mme A... et au ministre d'Etat, ministre de l'éducation nationale et de la culture.</w:t>
      </w:r>
    </w:p>
    <w:sectPr w:rsidR="004F6E0B" w:rsidRPr="004F6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B2"/>
    <w:rsid w:val="0007770B"/>
    <w:rsid w:val="000D43AB"/>
    <w:rsid w:val="00206E63"/>
    <w:rsid w:val="004F6E0B"/>
    <w:rsid w:val="006B57F3"/>
    <w:rsid w:val="006D510F"/>
    <w:rsid w:val="00C24E8B"/>
    <w:rsid w:val="00C57A87"/>
    <w:rsid w:val="00D62AB2"/>
    <w:rsid w:val="00EA3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4BF7"/>
  <w15:chartTrackingRefBased/>
  <w15:docId w15:val="{C63D9CB5-FDC2-4434-961F-3483AB62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B2"/>
    <w:pPr>
      <w:widowControl w:val="0"/>
      <w:suppressAutoHyphens/>
      <w:spacing w:after="0" w:line="240" w:lineRule="auto"/>
    </w:pPr>
    <w:rPr>
      <w:rFonts w:ascii="Times New Roman" w:eastAsia="Andale Sans UI" w:hAnsi="Times New Roman" w:cs="Times New Roman"/>
      <w:kern w:val="1"/>
      <w:sz w:val="24"/>
      <w:szCs w:val="24"/>
    </w:rPr>
  </w:style>
  <w:style w:type="paragraph" w:styleId="Titre1">
    <w:name w:val="heading 1"/>
    <w:basedOn w:val="Normal"/>
    <w:link w:val="Titre1Car"/>
    <w:uiPriority w:val="9"/>
    <w:qFormat/>
    <w:rsid w:val="006D510F"/>
    <w:pPr>
      <w:widowControl/>
      <w:suppressAutoHyphens w:val="0"/>
      <w:spacing w:before="100" w:beforeAutospacing="1" w:after="100" w:afterAutospacing="1"/>
      <w:outlineLvl w:val="0"/>
    </w:pPr>
    <w:rPr>
      <w:rFonts w:eastAsia="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D62AB2"/>
  </w:style>
  <w:style w:type="paragraph" w:styleId="NormalWeb">
    <w:name w:val="Normal (Web)"/>
    <w:basedOn w:val="Normal"/>
    <w:uiPriority w:val="99"/>
    <w:rsid w:val="00D62AB2"/>
    <w:pPr>
      <w:spacing w:before="280" w:after="280" w:line="100" w:lineRule="atLeast"/>
    </w:pPr>
    <w:rPr>
      <w:rFonts w:eastAsia="Times New Roman"/>
    </w:rPr>
  </w:style>
  <w:style w:type="paragraph" w:styleId="Sansinterligne">
    <w:name w:val="No Spacing"/>
    <w:uiPriority w:val="1"/>
    <w:qFormat/>
    <w:rsid w:val="000D43AB"/>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sdic-normal">
    <w:name w:val="sdic-normal"/>
    <w:basedOn w:val="Normal"/>
    <w:rsid w:val="004F6E0B"/>
    <w:pPr>
      <w:widowControl/>
      <w:suppressAutoHyphens w:val="0"/>
      <w:spacing w:before="100" w:beforeAutospacing="1" w:after="100" w:afterAutospacing="1"/>
    </w:pPr>
    <w:rPr>
      <w:rFonts w:eastAsia="Times New Roman"/>
      <w:kern w:val="0"/>
      <w:lang w:eastAsia="fr-FR"/>
    </w:rPr>
  </w:style>
  <w:style w:type="character" w:styleId="Accentuation">
    <w:name w:val="Emphasis"/>
    <w:basedOn w:val="Policepardfaut"/>
    <w:uiPriority w:val="20"/>
    <w:qFormat/>
    <w:rsid w:val="004F6E0B"/>
    <w:rPr>
      <w:i/>
      <w:iCs/>
    </w:rPr>
  </w:style>
  <w:style w:type="character" w:customStyle="1" w:styleId="Titre1Car">
    <w:name w:val="Titre 1 Car"/>
    <w:basedOn w:val="Policepardfaut"/>
    <w:link w:val="Titre1"/>
    <w:uiPriority w:val="9"/>
    <w:rsid w:val="006D510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1810">
      <w:bodyDiv w:val="1"/>
      <w:marLeft w:val="0"/>
      <w:marRight w:val="0"/>
      <w:marTop w:val="0"/>
      <w:marBottom w:val="0"/>
      <w:divBdr>
        <w:top w:val="none" w:sz="0" w:space="0" w:color="auto"/>
        <w:left w:val="none" w:sz="0" w:space="0" w:color="auto"/>
        <w:bottom w:val="none" w:sz="0" w:space="0" w:color="auto"/>
        <w:right w:val="none" w:sz="0" w:space="0" w:color="auto"/>
      </w:divBdr>
    </w:div>
    <w:div w:id="821122121">
      <w:bodyDiv w:val="1"/>
      <w:marLeft w:val="0"/>
      <w:marRight w:val="0"/>
      <w:marTop w:val="0"/>
      <w:marBottom w:val="0"/>
      <w:divBdr>
        <w:top w:val="none" w:sz="0" w:space="0" w:color="auto"/>
        <w:left w:val="none" w:sz="0" w:space="0" w:color="auto"/>
        <w:bottom w:val="none" w:sz="0" w:space="0" w:color="auto"/>
        <w:right w:val="none" w:sz="0" w:space="0" w:color="auto"/>
      </w:divBdr>
    </w:div>
    <w:div w:id="17411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23</Pages>
  <Words>12325</Words>
  <Characters>67792</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 Boukhari</dc:creator>
  <cp:keywords/>
  <dc:description/>
  <cp:lastModifiedBy>Mounir Boukhari</cp:lastModifiedBy>
  <cp:revision>4</cp:revision>
  <dcterms:created xsi:type="dcterms:W3CDTF">2021-09-08T10:00:00Z</dcterms:created>
  <dcterms:modified xsi:type="dcterms:W3CDTF">2022-08-26T10:37:00Z</dcterms:modified>
</cp:coreProperties>
</file>