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34" w:rsidRDefault="00E70C0C">
      <w:pPr>
        <w:ind w:left="240"/>
        <w:rPr>
          <w:sz w:val="20"/>
        </w:rPr>
      </w:pPr>
      <w:r>
        <w:rPr>
          <w:noProof/>
          <w:sz w:val="20"/>
          <w:lang w:bidi="ar-SA"/>
        </w:rPr>
        <w:drawing>
          <wp:inline distT="0" distB="0" distL="0" distR="0">
            <wp:extent cx="1504950" cy="4281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45887" cy="439785"/>
                    </a:xfrm>
                    <a:prstGeom prst="rect">
                      <a:avLst/>
                    </a:prstGeom>
                  </pic:spPr>
                </pic:pic>
              </a:graphicData>
            </a:graphic>
          </wp:inline>
        </w:drawing>
      </w:r>
    </w:p>
    <w:p w:rsidR="00991A34" w:rsidRDefault="00D1678E" w:rsidP="000A4032">
      <w:pPr>
        <w:ind w:left="4231" w:right="-162"/>
        <w:rPr>
          <w:b/>
          <w:sz w:val="28"/>
        </w:rPr>
      </w:pPr>
      <w:r>
        <w:rPr>
          <w:b/>
          <w:sz w:val="28"/>
          <w:u w:val="thick"/>
        </w:rPr>
        <w:t xml:space="preserve">OFFRE </w:t>
      </w:r>
      <w:r w:rsidR="00E70C0C">
        <w:rPr>
          <w:b/>
          <w:sz w:val="28"/>
          <w:u w:val="thick"/>
        </w:rPr>
        <w:t>D’EMPLOI</w:t>
      </w:r>
    </w:p>
    <w:p w:rsidR="00991A34" w:rsidRPr="00D1678E" w:rsidRDefault="00E70C0C" w:rsidP="00510404">
      <w:pPr>
        <w:pStyle w:val="Corpsdetexte"/>
        <w:spacing w:before="90" w:after="3"/>
        <w:ind w:left="1440"/>
        <w:rPr>
          <w:sz w:val="22"/>
          <w:szCs w:val="22"/>
        </w:rPr>
      </w:pPr>
      <w:r w:rsidRPr="00D1678E">
        <w:rPr>
          <w:color w:val="0F357D"/>
          <w:sz w:val="22"/>
          <w:szCs w:val="22"/>
        </w:rPr>
        <w:t xml:space="preserve">« </w:t>
      </w:r>
      <w:r w:rsidR="000B30BA">
        <w:rPr>
          <w:color w:val="0F357D"/>
          <w:sz w:val="22"/>
          <w:szCs w:val="22"/>
        </w:rPr>
        <w:t>Assistant de régie</w:t>
      </w:r>
      <w:r w:rsidRPr="00D1678E">
        <w:rPr>
          <w:color w:val="0F357D"/>
          <w:sz w:val="22"/>
          <w:szCs w:val="22"/>
        </w:rPr>
        <w:t xml:space="preserve"> des collections de la Cité in</w:t>
      </w:r>
      <w:r w:rsidR="000B30BA">
        <w:rPr>
          <w:color w:val="0F357D"/>
          <w:sz w:val="22"/>
          <w:szCs w:val="22"/>
        </w:rPr>
        <w:t>ternationale de la tapisserie</w:t>
      </w:r>
      <w:r w:rsidRPr="00D1678E">
        <w:rPr>
          <w:color w:val="0F357D"/>
          <w:sz w:val="22"/>
          <w:szCs w:val="22"/>
        </w:rPr>
        <w:t xml:space="preserve"> »</w:t>
      </w:r>
    </w:p>
    <w:tbl>
      <w:tblPr>
        <w:tblStyle w:val="TableNormal"/>
        <w:tblW w:w="10916"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7"/>
        <w:gridCol w:w="9639"/>
      </w:tblGrid>
      <w:tr w:rsidR="00991A34" w:rsidRPr="00D1678E" w:rsidTr="00F47955">
        <w:trPr>
          <w:trHeight w:val="2568"/>
        </w:trPr>
        <w:tc>
          <w:tcPr>
            <w:tcW w:w="1277" w:type="dxa"/>
          </w:tcPr>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E70C0C" w:rsidP="00D1678E">
            <w:pPr>
              <w:pStyle w:val="TableParagraph"/>
              <w:ind w:left="0"/>
              <w:rPr>
                <w:b/>
                <w:i/>
              </w:rPr>
            </w:pPr>
            <w:r w:rsidRPr="00D1678E">
              <w:rPr>
                <w:b/>
                <w:i/>
                <w:color w:val="0F357D"/>
              </w:rPr>
              <w:t>Organisme</w:t>
            </w:r>
          </w:p>
        </w:tc>
        <w:tc>
          <w:tcPr>
            <w:tcW w:w="9639" w:type="dxa"/>
          </w:tcPr>
          <w:p w:rsidR="00991A34" w:rsidRPr="003951D4" w:rsidRDefault="00E70C0C" w:rsidP="00D1678E">
            <w:pPr>
              <w:pStyle w:val="TableParagraph"/>
              <w:spacing w:line="276" w:lineRule="auto"/>
              <w:ind w:left="0" w:right="73"/>
              <w:jc w:val="both"/>
              <w:rPr>
                <w:sz w:val="20"/>
                <w:szCs w:val="20"/>
              </w:rPr>
            </w:pPr>
            <w:r w:rsidRPr="003951D4">
              <w:rPr>
                <w:sz w:val="20"/>
                <w:szCs w:val="20"/>
              </w:rPr>
              <w:t xml:space="preserve">Syndicat mixte de la Cité internationale de la tapisserie et de l’art tissé, à Aubusson (23), chargé de la mise en valeur de la tapisserie d’Aubusson inscrite au patrimoine culturel immatériel par l’UNESCO. </w:t>
            </w:r>
            <w:r w:rsidRPr="003951D4">
              <w:rPr>
                <w:spacing w:val="-3"/>
                <w:sz w:val="20"/>
                <w:szCs w:val="20"/>
              </w:rPr>
              <w:t xml:space="preserve">Le </w:t>
            </w:r>
            <w:r w:rsidRPr="003951D4">
              <w:rPr>
                <w:sz w:val="20"/>
                <w:szCs w:val="20"/>
              </w:rPr>
              <w:t xml:space="preserve">Syndicat mixte est composé du Conseil Régional Nouvelle Aquitaine, du Conseil départemental de la Creuse et de la Communauté de Communes Creuse Grand Sud. L’Etat et les professionnels de la tapisserie sont étroitement associés à son développement. Le Syndicat mixte a repris depuis 2011 la gestion du Musée départemental de la tapisserie et gère les collections </w:t>
            </w:r>
            <w:r w:rsidR="00D1678E" w:rsidRPr="003951D4">
              <w:rPr>
                <w:sz w:val="20"/>
                <w:szCs w:val="20"/>
              </w:rPr>
              <w:t>« Musée de France » appartenant au C</w:t>
            </w:r>
            <w:r w:rsidRPr="003951D4">
              <w:rPr>
                <w:sz w:val="20"/>
                <w:szCs w:val="20"/>
              </w:rPr>
              <w:t>onseil Départemental. La Cité internationale de la tapisserie a été inaugurée, sur le site restructuré de l’ancienne Ecole Nationale d’Art Décoratif (ENAD) d’Aubusson, par le Président de la République le 10 juillet 2016. L’objectif d</w:t>
            </w:r>
            <w:r w:rsidR="00D1678E" w:rsidRPr="003951D4">
              <w:rPr>
                <w:sz w:val="20"/>
                <w:szCs w:val="20"/>
              </w:rPr>
              <w:t>e fréquentation de 40 000 visiteurs par an est atteint et cet objectif sera porté à 50 000 visiteurs avec l’ouverture de la deuxième tran</w:t>
            </w:r>
            <w:r w:rsidR="00F47955">
              <w:rPr>
                <w:sz w:val="20"/>
                <w:szCs w:val="20"/>
              </w:rPr>
              <w:t>che du projet immobilier en 2025</w:t>
            </w:r>
            <w:bookmarkStart w:id="0" w:name="_GoBack"/>
            <w:bookmarkEnd w:id="0"/>
            <w:r w:rsidR="00D1678E" w:rsidRPr="003951D4">
              <w:rPr>
                <w:sz w:val="20"/>
                <w:szCs w:val="20"/>
              </w:rPr>
              <w:t xml:space="preserve">. </w:t>
            </w:r>
            <w:r w:rsidRPr="003951D4">
              <w:rPr>
                <w:spacing w:val="-3"/>
                <w:sz w:val="20"/>
                <w:szCs w:val="20"/>
              </w:rPr>
              <w:t xml:space="preserve">La </w:t>
            </w:r>
            <w:r w:rsidRPr="003951D4">
              <w:rPr>
                <w:sz w:val="20"/>
                <w:szCs w:val="20"/>
              </w:rPr>
              <w:t>collection Musée de France bénéficie du dépôt des œuvres</w:t>
            </w:r>
            <w:r w:rsidRPr="003951D4">
              <w:rPr>
                <w:spacing w:val="10"/>
                <w:sz w:val="20"/>
                <w:szCs w:val="20"/>
              </w:rPr>
              <w:t xml:space="preserve"> </w:t>
            </w:r>
            <w:r w:rsidRPr="003951D4">
              <w:rPr>
                <w:sz w:val="20"/>
                <w:szCs w:val="20"/>
              </w:rPr>
              <w:t>de</w:t>
            </w:r>
            <w:r w:rsidR="00D1678E" w:rsidRPr="003951D4">
              <w:rPr>
                <w:sz w:val="20"/>
                <w:szCs w:val="20"/>
              </w:rPr>
              <w:t xml:space="preserve"> </w:t>
            </w:r>
            <w:r w:rsidRPr="003951D4">
              <w:rPr>
                <w:sz w:val="20"/>
                <w:szCs w:val="20"/>
              </w:rPr>
              <w:t>l’ENAD</w:t>
            </w:r>
            <w:r w:rsidR="00D1678E" w:rsidRPr="003951D4">
              <w:rPr>
                <w:sz w:val="20"/>
                <w:szCs w:val="20"/>
              </w:rPr>
              <w:t xml:space="preserve"> par l’Etat</w:t>
            </w:r>
            <w:r w:rsidRPr="003951D4">
              <w:rPr>
                <w:sz w:val="20"/>
                <w:szCs w:val="20"/>
              </w:rPr>
              <w:t>.</w:t>
            </w:r>
          </w:p>
        </w:tc>
      </w:tr>
      <w:tr w:rsidR="00991A34" w:rsidRPr="00D1678E" w:rsidTr="000A4032">
        <w:trPr>
          <w:trHeight w:val="1807"/>
        </w:trPr>
        <w:tc>
          <w:tcPr>
            <w:tcW w:w="1277" w:type="dxa"/>
          </w:tcPr>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E70C0C" w:rsidP="00D1678E">
            <w:pPr>
              <w:pStyle w:val="TableParagraph"/>
              <w:ind w:left="0"/>
              <w:rPr>
                <w:b/>
                <w:i/>
              </w:rPr>
            </w:pPr>
            <w:r w:rsidRPr="00D1678E">
              <w:rPr>
                <w:b/>
                <w:i/>
                <w:color w:val="0F357D"/>
              </w:rPr>
              <w:t>Contexte</w:t>
            </w:r>
          </w:p>
        </w:tc>
        <w:tc>
          <w:tcPr>
            <w:tcW w:w="9639" w:type="dxa"/>
          </w:tcPr>
          <w:p w:rsidR="004C6F71" w:rsidRDefault="00E70C0C" w:rsidP="007B1448">
            <w:pPr>
              <w:pStyle w:val="TableParagraph"/>
              <w:tabs>
                <w:tab w:val="left" w:pos="816"/>
                <w:tab w:val="left" w:pos="817"/>
              </w:tabs>
              <w:spacing w:line="276" w:lineRule="auto"/>
              <w:ind w:left="0"/>
              <w:rPr>
                <w:sz w:val="20"/>
                <w:szCs w:val="20"/>
              </w:rPr>
            </w:pPr>
            <w:r w:rsidRPr="003951D4">
              <w:rPr>
                <w:sz w:val="20"/>
                <w:szCs w:val="20"/>
              </w:rPr>
              <w:t xml:space="preserve">Les collections de la Cité internationale de la tapisserie se composent essentiellement de pièces textiles et graphiques dont la fragilité est à souligner et qui nécessitent par conséquent une plus grande fréquence de rotation. Elle enrichit ses fonds d’une collection d’œuvres contemporaines à fort potentiel communicant. De ce fait, ces œuvres </w:t>
            </w:r>
            <w:r w:rsidR="006F1861">
              <w:rPr>
                <w:sz w:val="20"/>
                <w:szCs w:val="20"/>
              </w:rPr>
              <w:t>bénéficient d’une forte visibilité auprès d’institutions variées et font l’objet d’un nombre important de demandes de prêt</w:t>
            </w:r>
            <w:r w:rsidRPr="003951D4">
              <w:rPr>
                <w:sz w:val="20"/>
                <w:szCs w:val="20"/>
              </w:rPr>
              <w:t xml:space="preserve">. </w:t>
            </w:r>
            <w:r w:rsidR="004C6F71">
              <w:rPr>
                <w:sz w:val="20"/>
                <w:szCs w:val="20"/>
              </w:rPr>
              <w:t>La Cité met ainsi en œuvre une politique de prêt particulièrement active avec une trentaine d’œuvres p</w:t>
            </w:r>
            <w:r w:rsidR="00510404">
              <w:rPr>
                <w:sz w:val="20"/>
                <w:szCs w:val="20"/>
              </w:rPr>
              <w:t xml:space="preserve">rêtées en moyenne par an à une dizaine d’emprunteurs. </w:t>
            </w:r>
          </w:p>
          <w:p w:rsidR="004C6F71" w:rsidRDefault="004C6F71" w:rsidP="007B1448">
            <w:pPr>
              <w:pStyle w:val="TableParagraph"/>
              <w:tabs>
                <w:tab w:val="left" w:pos="816"/>
                <w:tab w:val="left" w:pos="817"/>
              </w:tabs>
              <w:spacing w:line="276" w:lineRule="auto"/>
              <w:ind w:left="0"/>
              <w:rPr>
                <w:sz w:val="20"/>
                <w:szCs w:val="20"/>
              </w:rPr>
            </w:pPr>
          </w:p>
          <w:p w:rsidR="007B1448" w:rsidRDefault="00E70C0C" w:rsidP="007B1448">
            <w:pPr>
              <w:pStyle w:val="TableParagraph"/>
              <w:tabs>
                <w:tab w:val="left" w:pos="816"/>
                <w:tab w:val="left" w:pos="817"/>
              </w:tabs>
              <w:spacing w:line="276" w:lineRule="auto"/>
              <w:ind w:left="0"/>
              <w:rPr>
                <w:sz w:val="20"/>
                <w:szCs w:val="20"/>
              </w:rPr>
            </w:pPr>
            <w:r w:rsidRPr="003951D4">
              <w:rPr>
                <w:sz w:val="20"/>
                <w:szCs w:val="20"/>
              </w:rPr>
              <w:t>Enfin, la remise à niveau de la gestion de certaines parties de la collection est toujours en cours : collections en dépôt de l’ENAD, Fonds de</w:t>
            </w:r>
            <w:r w:rsidR="00962964" w:rsidRPr="003951D4">
              <w:rPr>
                <w:sz w:val="20"/>
                <w:szCs w:val="20"/>
              </w:rPr>
              <w:t xml:space="preserve"> </w:t>
            </w:r>
            <w:r w:rsidRPr="003951D4">
              <w:rPr>
                <w:sz w:val="20"/>
                <w:szCs w:val="20"/>
              </w:rPr>
              <w:t>cartons de tapisseries de plusieurs manufactures et artistes.</w:t>
            </w:r>
            <w:r w:rsidR="007B1448" w:rsidRPr="003951D4">
              <w:rPr>
                <w:sz w:val="20"/>
                <w:szCs w:val="20"/>
              </w:rPr>
              <w:t xml:space="preserve"> Les missions s’inscrivent dans le contexte particulier de la réalisation de la 2</w:t>
            </w:r>
            <w:r w:rsidR="007B1448" w:rsidRPr="003951D4">
              <w:rPr>
                <w:sz w:val="20"/>
                <w:szCs w:val="20"/>
                <w:vertAlign w:val="superscript"/>
              </w:rPr>
              <w:t>ème</w:t>
            </w:r>
            <w:r w:rsidR="007B1448" w:rsidRPr="003951D4">
              <w:rPr>
                <w:sz w:val="20"/>
                <w:szCs w:val="20"/>
              </w:rPr>
              <w:t xml:space="preserve"> tranche du projet immobilier de la Cité dont l’</w:t>
            </w:r>
            <w:r w:rsidR="000B30BA">
              <w:rPr>
                <w:sz w:val="20"/>
                <w:szCs w:val="20"/>
              </w:rPr>
              <w:t>ouverture est programmée en 2025</w:t>
            </w:r>
            <w:r w:rsidR="007B1448" w:rsidRPr="003951D4">
              <w:rPr>
                <w:sz w:val="20"/>
                <w:szCs w:val="20"/>
              </w:rPr>
              <w:t xml:space="preserve">. </w:t>
            </w:r>
          </w:p>
          <w:p w:rsidR="00991A34" w:rsidRDefault="00991A34" w:rsidP="00DE5F3D">
            <w:pPr>
              <w:pStyle w:val="TableParagraph"/>
              <w:tabs>
                <w:tab w:val="left" w:pos="816"/>
                <w:tab w:val="left" w:pos="817"/>
              </w:tabs>
              <w:spacing w:line="276" w:lineRule="auto"/>
              <w:ind w:left="0"/>
              <w:rPr>
                <w:sz w:val="20"/>
                <w:szCs w:val="20"/>
              </w:rPr>
            </w:pPr>
          </w:p>
          <w:p w:rsidR="0096090A" w:rsidRDefault="0096090A" w:rsidP="00DE5F3D">
            <w:pPr>
              <w:pStyle w:val="TableParagraph"/>
              <w:tabs>
                <w:tab w:val="left" w:pos="816"/>
                <w:tab w:val="left" w:pos="817"/>
              </w:tabs>
              <w:spacing w:line="276" w:lineRule="auto"/>
              <w:ind w:left="0"/>
              <w:rPr>
                <w:sz w:val="20"/>
                <w:szCs w:val="20"/>
              </w:rPr>
            </w:pPr>
            <w:r>
              <w:rPr>
                <w:sz w:val="20"/>
                <w:szCs w:val="20"/>
              </w:rPr>
              <w:t xml:space="preserve">Dans ce cadre, le service de régie des collections aura à assumer le suivi des opérations suivantes : </w:t>
            </w:r>
          </w:p>
          <w:p w:rsidR="0096090A" w:rsidRDefault="0096090A" w:rsidP="00DE5F3D">
            <w:pPr>
              <w:pStyle w:val="TableParagraph"/>
              <w:tabs>
                <w:tab w:val="left" w:pos="816"/>
                <w:tab w:val="left" w:pos="817"/>
              </w:tabs>
              <w:spacing w:line="276" w:lineRule="auto"/>
              <w:ind w:left="0"/>
              <w:rPr>
                <w:sz w:val="20"/>
                <w:szCs w:val="20"/>
              </w:rPr>
            </w:pPr>
            <w:r>
              <w:rPr>
                <w:sz w:val="20"/>
                <w:szCs w:val="20"/>
              </w:rPr>
              <w:t xml:space="preserve">1/ Suivi de la réception du chantier de la tranche 2, en particulier des espaces de réserve et de traitement des collections </w:t>
            </w:r>
          </w:p>
          <w:p w:rsidR="0096090A" w:rsidRDefault="0096090A" w:rsidP="00DE5F3D">
            <w:pPr>
              <w:pStyle w:val="TableParagraph"/>
              <w:tabs>
                <w:tab w:val="left" w:pos="816"/>
                <w:tab w:val="left" w:pos="817"/>
              </w:tabs>
              <w:spacing w:line="276" w:lineRule="auto"/>
              <w:ind w:left="0"/>
              <w:rPr>
                <w:sz w:val="20"/>
                <w:szCs w:val="20"/>
              </w:rPr>
            </w:pPr>
            <w:r>
              <w:rPr>
                <w:sz w:val="20"/>
                <w:szCs w:val="20"/>
              </w:rPr>
              <w:t xml:space="preserve">2/ Transfert d’une réserve existante dans le nouveau bâtiment </w:t>
            </w:r>
          </w:p>
          <w:p w:rsidR="0096090A" w:rsidRPr="003951D4" w:rsidRDefault="0096090A" w:rsidP="00DE5F3D">
            <w:pPr>
              <w:pStyle w:val="TableParagraph"/>
              <w:tabs>
                <w:tab w:val="left" w:pos="816"/>
                <w:tab w:val="left" w:pos="817"/>
              </w:tabs>
              <w:spacing w:line="276" w:lineRule="auto"/>
              <w:ind w:left="0"/>
              <w:rPr>
                <w:sz w:val="20"/>
                <w:szCs w:val="20"/>
              </w:rPr>
            </w:pPr>
            <w:r>
              <w:rPr>
                <w:sz w:val="20"/>
                <w:szCs w:val="20"/>
              </w:rPr>
              <w:t xml:space="preserve">3/ Transfert de collections de cartons de tapisserie conservés dans des sites externalisés, organisation et suivi d’un chantier de collections (environ 14 000 œuvres) </w:t>
            </w:r>
          </w:p>
        </w:tc>
      </w:tr>
      <w:tr w:rsidR="00991A34" w:rsidRPr="00D1678E" w:rsidTr="00F47955">
        <w:trPr>
          <w:trHeight w:val="3344"/>
        </w:trPr>
        <w:tc>
          <w:tcPr>
            <w:tcW w:w="1277" w:type="dxa"/>
          </w:tcPr>
          <w:p w:rsidR="00991A34" w:rsidRPr="00D1678E" w:rsidRDefault="00991A34" w:rsidP="00D1678E">
            <w:pPr>
              <w:pStyle w:val="TableParagraph"/>
              <w:ind w:left="0"/>
              <w:rPr>
                <w:b/>
              </w:rPr>
            </w:pPr>
          </w:p>
          <w:p w:rsidR="00991A34" w:rsidRPr="00D1678E" w:rsidRDefault="00E70C0C" w:rsidP="00D1678E">
            <w:pPr>
              <w:pStyle w:val="TableParagraph"/>
              <w:ind w:left="0"/>
              <w:rPr>
                <w:b/>
                <w:i/>
              </w:rPr>
            </w:pPr>
            <w:r w:rsidRPr="00D1678E">
              <w:rPr>
                <w:b/>
                <w:i/>
                <w:color w:val="0F357D"/>
              </w:rPr>
              <w:t>Missions</w:t>
            </w:r>
          </w:p>
        </w:tc>
        <w:tc>
          <w:tcPr>
            <w:tcW w:w="9639" w:type="dxa"/>
          </w:tcPr>
          <w:p w:rsidR="0096090A" w:rsidRDefault="0096090A" w:rsidP="00962964">
            <w:pPr>
              <w:pStyle w:val="TableParagraph"/>
              <w:tabs>
                <w:tab w:val="left" w:pos="816"/>
                <w:tab w:val="left" w:pos="817"/>
              </w:tabs>
              <w:spacing w:line="276" w:lineRule="auto"/>
              <w:ind w:left="0"/>
              <w:rPr>
                <w:sz w:val="20"/>
                <w:szCs w:val="20"/>
              </w:rPr>
            </w:pPr>
            <w:r>
              <w:rPr>
                <w:sz w:val="20"/>
                <w:szCs w:val="20"/>
              </w:rPr>
              <w:t xml:space="preserve">En lien avec la régisseuse des collections et la conservatrice : </w:t>
            </w:r>
          </w:p>
          <w:p w:rsidR="0096090A" w:rsidRPr="003951D4" w:rsidRDefault="00D1678E" w:rsidP="00962964">
            <w:pPr>
              <w:pStyle w:val="TableParagraph"/>
              <w:tabs>
                <w:tab w:val="left" w:pos="816"/>
                <w:tab w:val="left" w:pos="817"/>
              </w:tabs>
              <w:spacing w:line="276" w:lineRule="auto"/>
              <w:ind w:left="0"/>
              <w:rPr>
                <w:sz w:val="20"/>
                <w:szCs w:val="20"/>
              </w:rPr>
            </w:pPr>
            <w:r w:rsidRPr="003951D4">
              <w:rPr>
                <w:sz w:val="20"/>
                <w:szCs w:val="20"/>
              </w:rPr>
              <w:t xml:space="preserve">1/ </w:t>
            </w:r>
            <w:r w:rsidR="00E462EC">
              <w:rPr>
                <w:sz w:val="20"/>
                <w:szCs w:val="20"/>
              </w:rPr>
              <w:t>Sui</w:t>
            </w:r>
            <w:r w:rsidR="00273793">
              <w:rPr>
                <w:sz w:val="20"/>
                <w:szCs w:val="20"/>
              </w:rPr>
              <w:t>vi</w:t>
            </w:r>
            <w:r w:rsidR="00E462EC">
              <w:rPr>
                <w:sz w:val="20"/>
                <w:szCs w:val="20"/>
              </w:rPr>
              <w:t xml:space="preserve"> des collections et i</w:t>
            </w:r>
            <w:r w:rsidRPr="003951D4">
              <w:rPr>
                <w:sz w:val="20"/>
                <w:szCs w:val="20"/>
              </w:rPr>
              <w:t xml:space="preserve">nventaire. Suivi de la base Webmuséo. </w:t>
            </w:r>
            <w:r w:rsidR="00E462EC">
              <w:rPr>
                <w:sz w:val="20"/>
                <w:szCs w:val="20"/>
              </w:rPr>
              <w:t>Intégration des acquisitions.</w:t>
            </w:r>
            <w:r w:rsidR="0096090A">
              <w:rPr>
                <w:sz w:val="20"/>
                <w:szCs w:val="20"/>
              </w:rPr>
              <w:t>: Récolement, A</w:t>
            </w:r>
            <w:r w:rsidRPr="003951D4">
              <w:rPr>
                <w:sz w:val="20"/>
                <w:szCs w:val="20"/>
              </w:rPr>
              <w:t xml:space="preserve">ssistance </w:t>
            </w:r>
            <w:r w:rsidR="00DE5F3D">
              <w:rPr>
                <w:sz w:val="20"/>
                <w:szCs w:val="20"/>
              </w:rPr>
              <w:t>à la Conservatrice</w:t>
            </w:r>
            <w:r w:rsidRPr="003951D4">
              <w:rPr>
                <w:sz w:val="20"/>
                <w:szCs w:val="20"/>
              </w:rPr>
              <w:t xml:space="preserve"> pour l’élaboration des dossiers pour la Commissi</w:t>
            </w:r>
            <w:r w:rsidR="0096090A">
              <w:rPr>
                <w:sz w:val="20"/>
                <w:szCs w:val="20"/>
              </w:rPr>
              <w:t>on scientifique de restauration, Suivi des restaurations.</w:t>
            </w:r>
          </w:p>
          <w:p w:rsidR="0096090A" w:rsidRPr="003951D4" w:rsidRDefault="00D1678E" w:rsidP="00962964">
            <w:pPr>
              <w:pStyle w:val="TableParagraph"/>
              <w:tabs>
                <w:tab w:val="left" w:pos="816"/>
                <w:tab w:val="left" w:pos="817"/>
              </w:tabs>
              <w:spacing w:line="276" w:lineRule="auto"/>
              <w:ind w:left="0"/>
              <w:rPr>
                <w:sz w:val="20"/>
                <w:szCs w:val="20"/>
              </w:rPr>
            </w:pPr>
            <w:r w:rsidRPr="003951D4">
              <w:rPr>
                <w:sz w:val="20"/>
                <w:szCs w:val="20"/>
              </w:rPr>
              <w:t>2/ Gestion des réserves. Suivi des paramètres climatiques</w:t>
            </w:r>
            <w:r w:rsidR="00665212" w:rsidRPr="003951D4">
              <w:rPr>
                <w:sz w:val="20"/>
                <w:szCs w:val="20"/>
              </w:rPr>
              <w:t xml:space="preserve"> de l’installation et de conservation préventive et pilotage </w:t>
            </w:r>
            <w:r w:rsidR="0096090A">
              <w:rPr>
                <w:sz w:val="20"/>
                <w:szCs w:val="20"/>
              </w:rPr>
              <w:t xml:space="preserve">de l’entreprise de maintenance. </w:t>
            </w:r>
            <w:r w:rsidR="00665212" w:rsidRPr="003951D4">
              <w:rPr>
                <w:sz w:val="20"/>
                <w:szCs w:val="20"/>
              </w:rPr>
              <w:t>Actualisation du plan de sauvegarde</w:t>
            </w:r>
            <w:r w:rsidR="0096090A">
              <w:rPr>
                <w:sz w:val="20"/>
                <w:szCs w:val="20"/>
              </w:rPr>
              <w:t xml:space="preserve"> des oeuvres</w:t>
            </w:r>
            <w:r w:rsidR="00665212" w:rsidRPr="003951D4">
              <w:rPr>
                <w:sz w:val="20"/>
                <w:szCs w:val="20"/>
              </w:rPr>
              <w:t>.</w:t>
            </w:r>
          </w:p>
          <w:p w:rsidR="004C6F71" w:rsidRDefault="00962964" w:rsidP="00DE5F3D">
            <w:pPr>
              <w:pStyle w:val="TableParagraph"/>
              <w:tabs>
                <w:tab w:val="left" w:pos="816"/>
                <w:tab w:val="left" w:pos="817"/>
              </w:tabs>
              <w:spacing w:line="276" w:lineRule="auto"/>
              <w:ind w:left="0"/>
              <w:rPr>
                <w:sz w:val="20"/>
                <w:szCs w:val="20"/>
              </w:rPr>
            </w:pPr>
            <w:r w:rsidRPr="003951D4">
              <w:rPr>
                <w:sz w:val="20"/>
                <w:szCs w:val="20"/>
              </w:rPr>
              <w:t>3/ Mouvement des œuvres : prê</w:t>
            </w:r>
            <w:r w:rsidR="00CC59ED" w:rsidRPr="003951D4">
              <w:rPr>
                <w:sz w:val="20"/>
                <w:szCs w:val="20"/>
              </w:rPr>
              <w:t>ts, retours, dépôts.</w:t>
            </w:r>
            <w:r w:rsidR="003951D4">
              <w:rPr>
                <w:sz w:val="20"/>
                <w:szCs w:val="20"/>
              </w:rPr>
              <w:t xml:space="preserve"> </w:t>
            </w:r>
            <w:r w:rsidRPr="003951D4">
              <w:rPr>
                <w:sz w:val="20"/>
                <w:szCs w:val="20"/>
              </w:rPr>
              <w:t>Organisation des transports d’œuvres par marchés publics. Su</w:t>
            </w:r>
            <w:r w:rsidR="00CC59ED" w:rsidRPr="003951D4">
              <w:rPr>
                <w:sz w:val="20"/>
                <w:szCs w:val="20"/>
              </w:rPr>
              <w:t>ivi administratif et logistique</w:t>
            </w:r>
            <w:r w:rsidR="003951D4">
              <w:rPr>
                <w:sz w:val="20"/>
                <w:szCs w:val="20"/>
              </w:rPr>
              <w:t xml:space="preserve"> </w:t>
            </w:r>
            <w:r w:rsidRPr="003951D4">
              <w:rPr>
                <w:sz w:val="20"/>
                <w:szCs w:val="20"/>
              </w:rPr>
              <w:t xml:space="preserve">(procédure, </w:t>
            </w:r>
            <w:r w:rsidR="00E462EC">
              <w:rPr>
                <w:sz w:val="20"/>
                <w:szCs w:val="20"/>
              </w:rPr>
              <w:t>autorisations de sortie du territoire</w:t>
            </w:r>
            <w:r w:rsidRPr="003951D4">
              <w:rPr>
                <w:sz w:val="20"/>
                <w:szCs w:val="20"/>
              </w:rPr>
              <w:t>, lettres de prêts</w:t>
            </w:r>
            <w:r w:rsidR="003951D4">
              <w:rPr>
                <w:sz w:val="20"/>
                <w:szCs w:val="20"/>
              </w:rPr>
              <w:t>, constats d’état</w:t>
            </w:r>
            <w:r w:rsidRPr="003951D4">
              <w:rPr>
                <w:sz w:val="20"/>
                <w:szCs w:val="20"/>
              </w:rPr>
              <w:t>).</w:t>
            </w:r>
            <w:r w:rsidR="00CC59ED" w:rsidRPr="003951D4">
              <w:rPr>
                <w:sz w:val="20"/>
                <w:szCs w:val="20"/>
              </w:rPr>
              <w:t>Assurances des collections et expositions.</w:t>
            </w:r>
            <w:r w:rsidR="00E462EC">
              <w:rPr>
                <w:sz w:val="20"/>
                <w:szCs w:val="20"/>
              </w:rPr>
              <w:t xml:space="preserve"> Accrochage, logistique complète des expositions sous l’autorité </w:t>
            </w:r>
            <w:r w:rsidR="00DE5F3D">
              <w:rPr>
                <w:sz w:val="20"/>
                <w:szCs w:val="20"/>
              </w:rPr>
              <w:t>de la Conservatrice</w:t>
            </w:r>
          </w:p>
          <w:p w:rsidR="006F1861" w:rsidRDefault="004C6F71" w:rsidP="00DE5F3D">
            <w:pPr>
              <w:pStyle w:val="TableParagraph"/>
              <w:tabs>
                <w:tab w:val="left" w:pos="816"/>
                <w:tab w:val="left" w:pos="817"/>
              </w:tabs>
              <w:spacing w:line="276" w:lineRule="auto"/>
              <w:ind w:left="0"/>
              <w:rPr>
                <w:sz w:val="20"/>
                <w:szCs w:val="20"/>
              </w:rPr>
            </w:pPr>
            <w:r>
              <w:rPr>
                <w:sz w:val="20"/>
                <w:szCs w:val="20"/>
              </w:rPr>
              <w:t xml:space="preserve">4/ Participation fréquente à des convoiements et montages d’exposition hors les murs en lien avec les partenaires de la Cité. </w:t>
            </w:r>
          </w:p>
          <w:p w:rsidR="0096090A" w:rsidRPr="00F47955" w:rsidRDefault="006F1861" w:rsidP="00DE5F3D">
            <w:pPr>
              <w:pStyle w:val="TableParagraph"/>
              <w:tabs>
                <w:tab w:val="left" w:pos="816"/>
                <w:tab w:val="left" w:pos="817"/>
              </w:tabs>
              <w:spacing w:line="276" w:lineRule="auto"/>
              <w:ind w:left="0"/>
              <w:rPr>
                <w:i/>
                <w:sz w:val="20"/>
                <w:szCs w:val="20"/>
              </w:rPr>
            </w:pPr>
            <w:r w:rsidRPr="006F1861">
              <w:rPr>
                <w:i/>
                <w:sz w:val="20"/>
                <w:szCs w:val="20"/>
              </w:rPr>
              <w:t xml:space="preserve">L’attention des candidats est attirée sur le fait que ces missions impliquent port de charges, travail en hauteur, déplacements fréquents et conduite de véhicules allant jusqu’à 20m3. </w:t>
            </w:r>
          </w:p>
        </w:tc>
      </w:tr>
      <w:tr w:rsidR="00991A34" w:rsidRPr="00D1678E" w:rsidTr="00F47955">
        <w:trPr>
          <w:trHeight w:val="244"/>
        </w:trPr>
        <w:tc>
          <w:tcPr>
            <w:tcW w:w="1277" w:type="dxa"/>
          </w:tcPr>
          <w:p w:rsidR="00991A34" w:rsidRPr="00D1678E" w:rsidRDefault="00E70C0C" w:rsidP="00D1678E">
            <w:pPr>
              <w:pStyle w:val="TableParagraph"/>
              <w:ind w:left="0"/>
              <w:rPr>
                <w:b/>
                <w:i/>
              </w:rPr>
            </w:pPr>
            <w:r w:rsidRPr="00D1678E">
              <w:rPr>
                <w:b/>
                <w:i/>
                <w:color w:val="0F357D"/>
              </w:rPr>
              <w:t>Profil</w:t>
            </w:r>
          </w:p>
        </w:tc>
        <w:tc>
          <w:tcPr>
            <w:tcW w:w="9639" w:type="dxa"/>
          </w:tcPr>
          <w:p w:rsidR="00991A34" w:rsidRPr="003951D4" w:rsidRDefault="00F47955" w:rsidP="000B30BA">
            <w:pPr>
              <w:pStyle w:val="TableParagraph"/>
              <w:spacing w:line="276" w:lineRule="auto"/>
              <w:ind w:left="0"/>
              <w:rPr>
                <w:sz w:val="20"/>
                <w:szCs w:val="20"/>
              </w:rPr>
            </w:pPr>
            <w:r>
              <w:rPr>
                <w:sz w:val="20"/>
                <w:szCs w:val="20"/>
              </w:rPr>
              <w:t>Diplômé en gestion du p</w:t>
            </w:r>
            <w:r w:rsidR="00E70C0C" w:rsidRPr="003951D4">
              <w:rPr>
                <w:sz w:val="20"/>
                <w:szCs w:val="20"/>
              </w:rPr>
              <w:t>atrimoine avec spécialisation régie des œuvres et</w:t>
            </w:r>
            <w:r w:rsidR="00962964" w:rsidRPr="003951D4">
              <w:rPr>
                <w:sz w:val="20"/>
                <w:szCs w:val="20"/>
              </w:rPr>
              <w:t xml:space="preserve"> </w:t>
            </w:r>
            <w:r w:rsidR="00E70C0C" w:rsidRPr="003951D4">
              <w:rPr>
                <w:sz w:val="20"/>
                <w:szCs w:val="20"/>
              </w:rPr>
              <w:t>conservation préventive</w:t>
            </w:r>
            <w:r w:rsidR="000B30BA">
              <w:rPr>
                <w:sz w:val="20"/>
                <w:szCs w:val="20"/>
              </w:rPr>
              <w:t xml:space="preserve"> </w:t>
            </w:r>
            <w:r w:rsidR="00962964" w:rsidRPr="003951D4">
              <w:rPr>
                <w:sz w:val="20"/>
                <w:szCs w:val="20"/>
              </w:rPr>
              <w:t>-. Permis B exigé.</w:t>
            </w:r>
          </w:p>
        </w:tc>
      </w:tr>
      <w:tr w:rsidR="00991A34" w:rsidRPr="00D1678E" w:rsidTr="00F47955">
        <w:trPr>
          <w:trHeight w:val="234"/>
        </w:trPr>
        <w:tc>
          <w:tcPr>
            <w:tcW w:w="1277" w:type="dxa"/>
          </w:tcPr>
          <w:p w:rsidR="00991A34" w:rsidRPr="000A4032" w:rsidRDefault="00E70C0C" w:rsidP="00D1678E">
            <w:pPr>
              <w:pStyle w:val="TableParagraph"/>
              <w:ind w:left="0"/>
              <w:rPr>
                <w:b/>
                <w:i/>
                <w:sz w:val="16"/>
                <w:szCs w:val="16"/>
              </w:rPr>
            </w:pPr>
            <w:r w:rsidRPr="000A4032">
              <w:rPr>
                <w:b/>
                <w:i/>
                <w:color w:val="0F357D"/>
                <w:sz w:val="16"/>
                <w:szCs w:val="16"/>
              </w:rPr>
              <w:t>Positionnement</w:t>
            </w:r>
          </w:p>
        </w:tc>
        <w:tc>
          <w:tcPr>
            <w:tcW w:w="9639" w:type="dxa"/>
          </w:tcPr>
          <w:p w:rsidR="00991A34" w:rsidRPr="003951D4" w:rsidRDefault="00E70C0C" w:rsidP="0096090A">
            <w:pPr>
              <w:pStyle w:val="TableParagraph"/>
              <w:spacing w:before="44" w:line="276" w:lineRule="auto"/>
              <w:ind w:left="0"/>
              <w:rPr>
                <w:sz w:val="20"/>
                <w:szCs w:val="20"/>
              </w:rPr>
            </w:pPr>
            <w:r w:rsidRPr="003951D4">
              <w:rPr>
                <w:sz w:val="20"/>
                <w:szCs w:val="20"/>
              </w:rPr>
              <w:t xml:space="preserve">Rattaché </w:t>
            </w:r>
            <w:r w:rsidR="00DE5F3D">
              <w:rPr>
                <w:sz w:val="20"/>
                <w:szCs w:val="20"/>
              </w:rPr>
              <w:t>à la</w:t>
            </w:r>
            <w:r w:rsidR="000B30BA">
              <w:rPr>
                <w:sz w:val="20"/>
                <w:szCs w:val="20"/>
              </w:rPr>
              <w:t xml:space="preserve"> Régisseuse des collections et à la</w:t>
            </w:r>
            <w:r w:rsidR="00DE5F3D">
              <w:rPr>
                <w:sz w:val="20"/>
                <w:szCs w:val="20"/>
              </w:rPr>
              <w:t xml:space="preserve"> Conservatrice</w:t>
            </w:r>
            <w:r w:rsidR="0096090A">
              <w:rPr>
                <w:sz w:val="20"/>
                <w:szCs w:val="20"/>
              </w:rPr>
              <w:t xml:space="preserve">, CDD 1 an </w:t>
            </w:r>
          </w:p>
        </w:tc>
      </w:tr>
      <w:tr w:rsidR="00991A34" w:rsidRPr="00D1678E" w:rsidTr="000A4032">
        <w:trPr>
          <w:trHeight w:val="553"/>
        </w:trPr>
        <w:tc>
          <w:tcPr>
            <w:tcW w:w="1277" w:type="dxa"/>
          </w:tcPr>
          <w:p w:rsidR="00991A34" w:rsidRPr="00D1678E" w:rsidRDefault="00E70C0C" w:rsidP="00D1678E">
            <w:pPr>
              <w:pStyle w:val="TableParagraph"/>
              <w:ind w:left="0"/>
              <w:rPr>
                <w:b/>
                <w:i/>
              </w:rPr>
            </w:pPr>
            <w:r w:rsidRPr="00D1678E">
              <w:rPr>
                <w:b/>
                <w:i/>
                <w:color w:val="0F357D"/>
              </w:rPr>
              <w:t>Qualités requises</w:t>
            </w:r>
          </w:p>
        </w:tc>
        <w:tc>
          <w:tcPr>
            <w:tcW w:w="9639" w:type="dxa"/>
          </w:tcPr>
          <w:p w:rsidR="00991A34" w:rsidRPr="003951D4" w:rsidRDefault="00E70C0C" w:rsidP="00D1678E">
            <w:pPr>
              <w:pStyle w:val="TableParagraph"/>
              <w:spacing w:line="276" w:lineRule="auto"/>
              <w:ind w:left="0"/>
              <w:rPr>
                <w:sz w:val="20"/>
                <w:szCs w:val="20"/>
              </w:rPr>
            </w:pPr>
            <w:r w:rsidRPr="003951D4">
              <w:rPr>
                <w:sz w:val="20"/>
                <w:szCs w:val="20"/>
              </w:rPr>
              <w:t>Rigueur ; forte capacité d’organisation</w:t>
            </w:r>
            <w:r w:rsidR="009112AB" w:rsidRPr="003951D4">
              <w:rPr>
                <w:sz w:val="20"/>
                <w:szCs w:val="20"/>
              </w:rPr>
              <w:t xml:space="preserve"> et sens des priorités</w:t>
            </w:r>
            <w:r w:rsidRPr="003951D4">
              <w:rPr>
                <w:sz w:val="20"/>
                <w:szCs w:val="20"/>
              </w:rPr>
              <w:t xml:space="preserve"> ;</w:t>
            </w:r>
            <w:r w:rsidR="00665212" w:rsidRPr="003951D4">
              <w:rPr>
                <w:sz w:val="20"/>
                <w:szCs w:val="20"/>
              </w:rPr>
              <w:t xml:space="preserve"> prises d’initiatives et </w:t>
            </w:r>
            <w:r w:rsidR="009112AB" w:rsidRPr="003951D4">
              <w:rPr>
                <w:sz w:val="20"/>
                <w:szCs w:val="20"/>
              </w:rPr>
              <w:t xml:space="preserve">recherche </w:t>
            </w:r>
            <w:r w:rsidR="00665212" w:rsidRPr="003951D4">
              <w:rPr>
                <w:sz w:val="20"/>
                <w:szCs w:val="20"/>
              </w:rPr>
              <w:t>d’informations</w:t>
            </w:r>
            <w:r w:rsidR="009112AB" w:rsidRPr="003951D4">
              <w:rPr>
                <w:sz w:val="20"/>
                <w:szCs w:val="20"/>
              </w:rPr>
              <w:t xml:space="preserve"> ; </w:t>
            </w:r>
            <w:r w:rsidRPr="003951D4">
              <w:rPr>
                <w:sz w:val="20"/>
                <w:szCs w:val="20"/>
              </w:rPr>
              <w:t>maîtrise des logiciels spécialisés ; sens</w:t>
            </w:r>
            <w:r w:rsidR="009112AB" w:rsidRPr="003951D4">
              <w:rPr>
                <w:sz w:val="20"/>
                <w:szCs w:val="20"/>
              </w:rPr>
              <w:t xml:space="preserve"> </w:t>
            </w:r>
            <w:r w:rsidRPr="003951D4">
              <w:rPr>
                <w:sz w:val="20"/>
                <w:szCs w:val="20"/>
              </w:rPr>
              <w:t xml:space="preserve">du contact </w:t>
            </w:r>
            <w:r w:rsidR="009112AB" w:rsidRPr="003951D4">
              <w:rPr>
                <w:sz w:val="20"/>
                <w:szCs w:val="20"/>
              </w:rPr>
              <w:t xml:space="preserve">et esprit d’équipe </w:t>
            </w:r>
            <w:r w:rsidRPr="003951D4">
              <w:rPr>
                <w:sz w:val="20"/>
                <w:szCs w:val="20"/>
              </w:rPr>
              <w:t>; polyvalence</w:t>
            </w:r>
          </w:p>
        </w:tc>
      </w:tr>
      <w:tr w:rsidR="00991A34" w:rsidRPr="00D1678E" w:rsidTr="00F47955">
        <w:trPr>
          <w:trHeight w:val="304"/>
        </w:trPr>
        <w:tc>
          <w:tcPr>
            <w:tcW w:w="1277" w:type="dxa"/>
          </w:tcPr>
          <w:p w:rsidR="00991A34" w:rsidRPr="00D1678E" w:rsidRDefault="00E70C0C" w:rsidP="00D1678E">
            <w:pPr>
              <w:pStyle w:val="TableParagraph"/>
              <w:ind w:left="0"/>
              <w:rPr>
                <w:b/>
                <w:i/>
              </w:rPr>
            </w:pPr>
            <w:r w:rsidRPr="00D1678E">
              <w:rPr>
                <w:b/>
                <w:i/>
                <w:color w:val="0F357D"/>
              </w:rPr>
              <w:t>Durée</w:t>
            </w:r>
          </w:p>
        </w:tc>
        <w:tc>
          <w:tcPr>
            <w:tcW w:w="9639" w:type="dxa"/>
          </w:tcPr>
          <w:p w:rsidR="00991A34" w:rsidRPr="003951D4" w:rsidRDefault="0096090A" w:rsidP="000B30BA">
            <w:pPr>
              <w:pStyle w:val="TableParagraph"/>
              <w:spacing w:before="41" w:line="276" w:lineRule="auto"/>
              <w:ind w:left="0"/>
              <w:rPr>
                <w:sz w:val="20"/>
                <w:szCs w:val="20"/>
              </w:rPr>
            </w:pPr>
            <w:r>
              <w:rPr>
                <w:sz w:val="20"/>
                <w:szCs w:val="20"/>
              </w:rPr>
              <w:t xml:space="preserve">CDD 1 an </w:t>
            </w:r>
          </w:p>
        </w:tc>
      </w:tr>
      <w:tr w:rsidR="00991A34" w:rsidRPr="00D1678E" w:rsidTr="000A4032">
        <w:trPr>
          <w:trHeight w:val="353"/>
        </w:trPr>
        <w:tc>
          <w:tcPr>
            <w:tcW w:w="1277" w:type="dxa"/>
          </w:tcPr>
          <w:p w:rsidR="00991A34" w:rsidRPr="00D1678E" w:rsidRDefault="00E70C0C" w:rsidP="00D1678E">
            <w:pPr>
              <w:pStyle w:val="TableParagraph"/>
              <w:ind w:left="0"/>
              <w:rPr>
                <w:b/>
                <w:i/>
              </w:rPr>
            </w:pPr>
            <w:r w:rsidRPr="00D1678E">
              <w:rPr>
                <w:b/>
                <w:i/>
                <w:color w:val="0F357D"/>
              </w:rPr>
              <w:t>Affectation</w:t>
            </w:r>
          </w:p>
        </w:tc>
        <w:tc>
          <w:tcPr>
            <w:tcW w:w="9639" w:type="dxa"/>
          </w:tcPr>
          <w:p w:rsidR="00991A34" w:rsidRPr="003951D4" w:rsidRDefault="00DE5F3D" w:rsidP="00D1678E">
            <w:pPr>
              <w:pStyle w:val="TableParagraph"/>
              <w:spacing w:before="32" w:line="276" w:lineRule="auto"/>
              <w:ind w:left="0"/>
              <w:rPr>
                <w:sz w:val="20"/>
                <w:szCs w:val="20"/>
              </w:rPr>
            </w:pPr>
            <w:r>
              <w:rPr>
                <w:sz w:val="20"/>
                <w:szCs w:val="20"/>
              </w:rPr>
              <w:t>Cité i</w:t>
            </w:r>
            <w:r w:rsidR="00E70C0C" w:rsidRPr="003951D4">
              <w:rPr>
                <w:sz w:val="20"/>
                <w:szCs w:val="20"/>
              </w:rPr>
              <w:t>nternationale de la tapisserie à Aubusson</w:t>
            </w:r>
          </w:p>
        </w:tc>
      </w:tr>
      <w:tr w:rsidR="00991A34" w:rsidRPr="00D1678E" w:rsidTr="00F47955">
        <w:trPr>
          <w:trHeight w:val="1112"/>
        </w:trPr>
        <w:tc>
          <w:tcPr>
            <w:tcW w:w="1277" w:type="dxa"/>
          </w:tcPr>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991A34" w:rsidP="00D1678E">
            <w:pPr>
              <w:pStyle w:val="TableParagraph"/>
              <w:ind w:left="0"/>
              <w:rPr>
                <w:b/>
              </w:rPr>
            </w:pPr>
          </w:p>
          <w:p w:rsidR="00991A34" w:rsidRPr="00D1678E" w:rsidRDefault="00D1678E" w:rsidP="000A4032">
            <w:pPr>
              <w:pStyle w:val="TableParagraph"/>
              <w:ind w:left="567" w:hanging="478"/>
              <w:rPr>
                <w:b/>
                <w:i/>
              </w:rPr>
            </w:pPr>
            <w:r w:rsidRPr="00D1678E">
              <w:rPr>
                <w:b/>
                <w:i/>
                <w:color w:val="0F357D"/>
              </w:rPr>
              <w:t xml:space="preserve">Candidature </w:t>
            </w:r>
          </w:p>
        </w:tc>
        <w:tc>
          <w:tcPr>
            <w:tcW w:w="9639" w:type="dxa"/>
          </w:tcPr>
          <w:p w:rsidR="00D1678E" w:rsidRPr="003951D4" w:rsidRDefault="00D1678E" w:rsidP="00D1678E">
            <w:pPr>
              <w:pStyle w:val="TableParagraph"/>
              <w:spacing w:before="41" w:line="276" w:lineRule="auto"/>
              <w:ind w:left="0"/>
              <w:rPr>
                <w:sz w:val="20"/>
                <w:szCs w:val="20"/>
              </w:rPr>
            </w:pPr>
            <w:r w:rsidRPr="003951D4">
              <w:rPr>
                <w:sz w:val="20"/>
                <w:szCs w:val="20"/>
              </w:rPr>
              <w:t>Candidature à adresser à Madame la Présidente de la Cité internationale de la tapisserie</w:t>
            </w:r>
            <w:r w:rsidR="009112AB" w:rsidRPr="003951D4">
              <w:rPr>
                <w:sz w:val="20"/>
                <w:szCs w:val="20"/>
              </w:rPr>
              <w:t xml:space="preserve"> avant le </w:t>
            </w:r>
            <w:r w:rsidR="00F47955">
              <w:rPr>
                <w:sz w:val="20"/>
                <w:szCs w:val="20"/>
              </w:rPr>
              <w:t>21</w:t>
            </w:r>
            <w:r w:rsidR="00DE5F3D">
              <w:rPr>
                <w:sz w:val="20"/>
                <w:szCs w:val="20"/>
              </w:rPr>
              <w:t xml:space="preserve"> </w:t>
            </w:r>
            <w:r w:rsidR="00F47955">
              <w:rPr>
                <w:sz w:val="20"/>
                <w:szCs w:val="20"/>
              </w:rPr>
              <w:t>avril 2025</w:t>
            </w:r>
            <w:r w:rsidR="009112AB" w:rsidRPr="003951D4">
              <w:rPr>
                <w:sz w:val="20"/>
                <w:szCs w:val="20"/>
              </w:rPr>
              <w:t xml:space="preserve">, à </w:t>
            </w:r>
            <w:hyperlink r:id="rId8" w:history="1">
              <w:r w:rsidR="009112AB" w:rsidRPr="003951D4">
                <w:rPr>
                  <w:rStyle w:val="Lienhypertexte"/>
                  <w:sz w:val="20"/>
                  <w:szCs w:val="20"/>
                </w:rPr>
                <w:t>contact@cite-tapisserie.fr</w:t>
              </w:r>
            </w:hyperlink>
            <w:r w:rsidR="009112AB" w:rsidRPr="003951D4">
              <w:rPr>
                <w:sz w:val="20"/>
                <w:szCs w:val="20"/>
              </w:rPr>
              <w:t xml:space="preserve"> </w:t>
            </w:r>
          </w:p>
          <w:p w:rsidR="00D1678E" w:rsidRPr="00F47955" w:rsidRDefault="00D1678E" w:rsidP="00F47955">
            <w:pPr>
              <w:pStyle w:val="TableParagraph"/>
              <w:spacing w:line="276" w:lineRule="auto"/>
              <w:ind w:left="0"/>
              <w:rPr>
                <w:b/>
                <w:sz w:val="20"/>
                <w:szCs w:val="20"/>
              </w:rPr>
            </w:pPr>
            <w:r w:rsidRPr="003951D4">
              <w:rPr>
                <w:b/>
                <w:sz w:val="20"/>
                <w:szCs w:val="20"/>
              </w:rPr>
              <w:t>Renseignements auprès de :</w:t>
            </w:r>
            <w:r w:rsidR="00F47955">
              <w:rPr>
                <w:b/>
                <w:sz w:val="20"/>
                <w:szCs w:val="20"/>
              </w:rPr>
              <w:t xml:space="preserve"> </w:t>
            </w:r>
            <w:r w:rsidR="00DE5F3D">
              <w:rPr>
                <w:b/>
                <w:sz w:val="20"/>
                <w:szCs w:val="20"/>
              </w:rPr>
              <w:t xml:space="preserve">Alice BERNADAC, </w:t>
            </w:r>
            <w:r w:rsidR="00F47955">
              <w:rPr>
                <w:sz w:val="20"/>
                <w:szCs w:val="20"/>
              </w:rPr>
              <w:t xml:space="preserve">Conservatrice / </w:t>
            </w:r>
            <w:r w:rsidR="00F47955" w:rsidRPr="003951D4">
              <w:rPr>
                <w:b/>
                <w:sz w:val="20"/>
                <w:szCs w:val="20"/>
              </w:rPr>
              <w:t xml:space="preserve">Christophe JAMOT, </w:t>
            </w:r>
            <w:r w:rsidR="00F47955" w:rsidRPr="003951D4">
              <w:rPr>
                <w:sz w:val="20"/>
                <w:szCs w:val="20"/>
              </w:rPr>
              <w:t>Chargé de mission</w:t>
            </w:r>
          </w:p>
          <w:p w:rsidR="00991A34" w:rsidRPr="003951D4" w:rsidRDefault="00E70C0C" w:rsidP="000A4032">
            <w:pPr>
              <w:pStyle w:val="TableParagraph"/>
              <w:spacing w:line="276" w:lineRule="auto"/>
              <w:ind w:left="0"/>
              <w:rPr>
                <w:sz w:val="20"/>
                <w:szCs w:val="20"/>
              </w:rPr>
            </w:pPr>
            <w:r w:rsidRPr="003951D4">
              <w:rPr>
                <w:sz w:val="20"/>
                <w:szCs w:val="20"/>
              </w:rPr>
              <w:t>Tél : 05 55 66 66</w:t>
            </w:r>
            <w:r w:rsidRPr="003951D4">
              <w:rPr>
                <w:spacing w:val="-2"/>
                <w:sz w:val="20"/>
                <w:szCs w:val="20"/>
              </w:rPr>
              <w:t xml:space="preserve"> </w:t>
            </w:r>
            <w:r w:rsidRPr="003951D4">
              <w:rPr>
                <w:sz w:val="20"/>
                <w:szCs w:val="20"/>
              </w:rPr>
              <w:t>66</w:t>
            </w:r>
            <w:r w:rsidR="000A4032" w:rsidRPr="003951D4">
              <w:rPr>
                <w:sz w:val="20"/>
                <w:szCs w:val="20"/>
              </w:rPr>
              <w:t xml:space="preserve"> / </w:t>
            </w:r>
            <w:r w:rsidRPr="003951D4">
              <w:rPr>
                <w:sz w:val="20"/>
                <w:szCs w:val="20"/>
              </w:rPr>
              <w:t xml:space="preserve">Courriel : </w:t>
            </w:r>
            <w:hyperlink r:id="rId9">
              <w:r w:rsidRPr="003951D4">
                <w:rPr>
                  <w:color w:val="0000FF"/>
                  <w:sz w:val="20"/>
                  <w:szCs w:val="20"/>
                  <w:u w:val="single" w:color="0000FF"/>
                </w:rPr>
                <w:t>contact@cite-tapisserie.fr</w:t>
              </w:r>
            </w:hyperlink>
            <w:r w:rsidRPr="003951D4">
              <w:rPr>
                <w:color w:val="0000FF"/>
                <w:sz w:val="20"/>
                <w:szCs w:val="20"/>
              </w:rPr>
              <w:t xml:space="preserve"> </w:t>
            </w:r>
            <w:r w:rsidR="000A4032" w:rsidRPr="003951D4">
              <w:rPr>
                <w:color w:val="0000FF"/>
                <w:sz w:val="20"/>
                <w:szCs w:val="20"/>
              </w:rPr>
              <w:t>/</w:t>
            </w:r>
            <w:r w:rsidR="009112AB" w:rsidRPr="003951D4">
              <w:rPr>
                <w:color w:val="0000FF"/>
                <w:sz w:val="20"/>
                <w:szCs w:val="20"/>
              </w:rPr>
              <w:t xml:space="preserve"> </w:t>
            </w:r>
            <w:hyperlink r:id="rId10" w:history="1">
              <w:r w:rsidR="00962964" w:rsidRPr="003951D4">
                <w:rPr>
                  <w:rStyle w:val="Lienhypertexte"/>
                  <w:sz w:val="20"/>
                  <w:szCs w:val="20"/>
                  <w:u w:color="0000FF"/>
                </w:rPr>
                <w:t>www.citetapisserie.fr</w:t>
              </w:r>
            </w:hyperlink>
          </w:p>
        </w:tc>
      </w:tr>
    </w:tbl>
    <w:p w:rsidR="00E70C0C" w:rsidRDefault="00E70C0C" w:rsidP="000A4032"/>
    <w:sectPr w:rsidR="00E70C0C" w:rsidSect="000A4032">
      <w:type w:val="continuous"/>
      <w:pgSz w:w="11910" w:h="16840"/>
      <w:pgMar w:top="720" w:right="428" w:bottom="720" w:left="720" w:header="39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B5" w:rsidRDefault="008625B5" w:rsidP="000A4032">
      <w:r>
        <w:separator/>
      </w:r>
    </w:p>
  </w:endnote>
  <w:endnote w:type="continuationSeparator" w:id="0">
    <w:p w:rsidR="008625B5" w:rsidRDefault="008625B5" w:rsidP="000A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B5" w:rsidRDefault="008625B5" w:rsidP="000A4032">
      <w:r>
        <w:separator/>
      </w:r>
    </w:p>
  </w:footnote>
  <w:footnote w:type="continuationSeparator" w:id="0">
    <w:p w:rsidR="008625B5" w:rsidRDefault="008625B5" w:rsidP="000A4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B56"/>
    <w:multiLevelType w:val="hybridMultilevel"/>
    <w:tmpl w:val="E8F0E6E8"/>
    <w:lvl w:ilvl="0" w:tplc="E820AE2E">
      <w:numFmt w:val="bullet"/>
      <w:lvlText w:val="-"/>
      <w:lvlJc w:val="left"/>
      <w:pPr>
        <w:ind w:left="283" w:hanging="534"/>
      </w:pPr>
      <w:rPr>
        <w:rFonts w:ascii="Times New Roman" w:eastAsia="Times New Roman" w:hAnsi="Times New Roman" w:cs="Times New Roman" w:hint="default"/>
        <w:spacing w:val="-3"/>
        <w:w w:val="99"/>
        <w:sz w:val="24"/>
        <w:szCs w:val="24"/>
        <w:lang w:val="fr-FR" w:eastAsia="fr-FR" w:bidi="fr-FR"/>
      </w:rPr>
    </w:lvl>
    <w:lvl w:ilvl="1" w:tplc="8CB47846">
      <w:numFmt w:val="bullet"/>
      <w:lvlText w:val="•"/>
      <w:lvlJc w:val="left"/>
      <w:pPr>
        <w:ind w:left="1052" w:hanging="534"/>
      </w:pPr>
      <w:rPr>
        <w:rFonts w:hint="default"/>
        <w:lang w:val="fr-FR" w:eastAsia="fr-FR" w:bidi="fr-FR"/>
      </w:rPr>
    </w:lvl>
    <w:lvl w:ilvl="2" w:tplc="A67C60B8">
      <w:numFmt w:val="bullet"/>
      <w:lvlText w:val="•"/>
      <w:lvlJc w:val="left"/>
      <w:pPr>
        <w:ind w:left="1824" w:hanging="534"/>
      </w:pPr>
      <w:rPr>
        <w:rFonts w:hint="default"/>
        <w:lang w:val="fr-FR" w:eastAsia="fr-FR" w:bidi="fr-FR"/>
      </w:rPr>
    </w:lvl>
    <w:lvl w:ilvl="3" w:tplc="062E72CE">
      <w:numFmt w:val="bullet"/>
      <w:lvlText w:val="•"/>
      <w:lvlJc w:val="left"/>
      <w:pPr>
        <w:ind w:left="2596" w:hanging="534"/>
      </w:pPr>
      <w:rPr>
        <w:rFonts w:hint="default"/>
        <w:lang w:val="fr-FR" w:eastAsia="fr-FR" w:bidi="fr-FR"/>
      </w:rPr>
    </w:lvl>
    <w:lvl w:ilvl="4" w:tplc="B00AEB6C">
      <w:numFmt w:val="bullet"/>
      <w:lvlText w:val="•"/>
      <w:lvlJc w:val="left"/>
      <w:pPr>
        <w:ind w:left="3368" w:hanging="534"/>
      </w:pPr>
      <w:rPr>
        <w:rFonts w:hint="default"/>
        <w:lang w:val="fr-FR" w:eastAsia="fr-FR" w:bidi="fr-FR"/>
      </w:rPr>
    </w:lvl>
    <w:lvl w:ilvl="5" w:tplc="1164AC3C">
      <w:numFmt w:val="bullet"/>
      <w:lvlText w:val="•"/>
      <w:lvlJc w:val="left"/>
      <w:pPr>
        <w:ind w:left="4141" w:hanging="534"/>
      </w:pPr>
      <w:rPr>
        <w:rFonts w:hint="default"/>
        <w:lang w:val="fr-FR" w:eastAsia="fr-FR" w:bidi="fr-FR"/>
      </w:rPr>
    </w:lvl>
    <w:lvl w:ilvl="6" w:tplc="FE0EE92A">
      <w:numFmt w:val="bullet"/>
      <w:lvlText w:val="•"/>
      <w:lvlJc w:val="left"/>
      <w:pPr>
        <w:ind w:left="4913" w:hanging="534"/>
      </w:pPr>
      <w:rPr>
        <w:rFonts w:hint="default"/>
        <w:lang w:val="fr-FR" w:eastAsia="fr-FR" w:bidi="fr-FR"/>
      </w:rPr>
    </w:lvl>
    <w:lvl w:ilvl="7" w:tplc="726C3CEA">
      <w:numFmt w:val="bullet"/>
      <w:lvlText w:val="•"/>
      <w:lvlJc w:val="left"/>
      <w:pPr>
        <w:ind w:left="5685" w:hanging="534"/>
      </w:pPr>
      <w:rPr>
        <w:rFonts w:hint="default"/>
        <w:lang w:val="fr-FR" w:eastAsia="fr-FR" w:bidi="fr-FR"/>
      </w:rPr>
    </w:lvl>
    <w:lvl w:ilvl="8" w:tplc="41BAFFAC">
      <w:numFmt w:val="bullet"/>
      <w:lvlText w:val="•"/>
      <w:lvlJc w:val="left"/>
      <w:pPr>
        <w:ind w:left="6457" w:hanging="53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34"/>
    <w:rsid w:val="000A4032"/>
    <w:rsid w:val="000B30BA"/>
    <w:rsid w:val="0010436D"/>
    <w:rsid w:val="00273793"/>
    <w:rsid w:val="00276886"/>
    <w:rsid w:val="003951D4"/>
    <w:rsid w:val="004277C1"/>
    <w:rsid w:val="0045391C"/>
    <w:rsid w:val="0047243D"/>
    <w:rsid w:val="004C6F71"/>
    <w:rsid w:val="00510404"/>
    <w:rsid w:val="005E630A"/>
    <w:rsid w:val="006239A3"/>
    <w:rsid w:val="00665212"/>
    <w:rsid w:val="006C6D80"/>
    <w:rsid w:val="006F1861"/>
    <w:rsid w:val="0074671D"/>
    <w:rsid w:val="00797CDD"/>
    <w:rsid w:val="007B1448"/>
    <w:rsid w:val="008625B5"/>
    <w:rsid w:val="009112AB"/>
    <w:rsid w:val="0096090A"/>
    <w:rsid w:val="00962964"/>
    <w:rsid w:val="00991A34"/>
    <w:rsid w:val="009E01E7"/>
    <w:rsid w:val="00B82169"/>
    <w:rsid w:val="00BF335A"/>
    <w:rsid w:val="00C06D11"/>
    <w:rsid w:val="00CA4E3D"/>
    <w:rsid w:val="00CC59ED"/>
    <w:rsid w:val="00CE1DEE"/>
    <w:rsid w:val="00D1678E"/>
    <w:rsid w:val="00DE5F3D"/>
    <w:rsid w:val="00E462EC"/>
    <w:rsid w:val="00E70C0C"/>
    <w:rsid w:val="00F47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08DB"/>
  <w15:docId w15:val="{8ACC32E0-1C90-4294-8168-9D3BB913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1A34"/>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91A34"/>
    <w:tblPr>
      <w:tblInd w:w="0" w:type="dxa"/>
      <w:tblCellMar>
        <w:top w:w="0" w:type="dxa"/>
        <w:left w:w="0" w:type="dxa"/>
        <w:bottom w:w="0" w:type="dxa"/>
        <w:right w:w="0" w:type="dxa"/>
      </w:tblCellMar>
    </w:tblPr>
  </w:style>
  <w:style w:type="paragraph" w:styleId="Corpsdetexte">
    <w:name w:val="Body Text"/>
    <w:basedOn w:val="Normal"/>
    <w:uiPriority w:val="1"/>
    <w:qFormat/>
    <w:rsid w:val="00991A34"/>
    <w:rPr>
      <w:b/>
      <w:bCs/>
      <w:sz w:val="24"/>
      <w:szCs w:val="24"/>
    </w:rPr>
  </w:style>
  <w:style w:type="paragraph" w:styleId="Paragraphedeliste">
    <w:name w:val="List Paragraph"/>
    <w:basedOn w:val="Normal"/>
    <w:uiPriority w:val="1"/>
    <w:qFormat/>
    <w:rsid w:val="00991A34"/>
  </w:style>
  <w:style w:type="paragraph" w:customStyle="1" w:styleId="TableParagraph">
    <w:name w:val="Table Paragraph"/>
    <w:basedOn w:val="Normal"/>
    <w:uiPriority w:val="1"/>
    <w:qFormat/>
    <w:rsid w:val="00991A34"/>
    <w:pPr>
      <w:ind w:left="283"/>
    </w:pPr>
  </w:style>
  <w:style w:type="character" w:styleId="Lienhypertexte">
    <w:name w:val="Hyperlink"/>
    <w:basedOn w:val="Policepardfaut"/>
    <w:uiPriority w:val="99"/>
    <w:unhideWhenUsed/>
    <w:rsid w:val="009112AB"/>
    <w:rPr>
      <w:color w:val="0000FF" w:themeColor="hyperlink"/>
      <w:u w:val="single"/>
    </w:rPr>
  </w:style>
  <w:style w:type="paragraph" w:styleId="En-tte">
    <w:name w:val="header"/>
    <w:basedOn w:val="Normal"/>
    <w:link w:val="En-tteCar"/>
    <w:uiPriority w:val="99"/>
    <w:semiHidden/>
    <w:unhideWhenUsed/>
    <w:rsid w:val="000A4032"/>
    <w:pPr>
      <w:tabs>
        <w:tab w:val="center" w:pos="4536"/>
        <w:tab w:val="right" w:pos="9072"/>
      </w:tabs>
    </w:pPr>
  </w:style>
  <w:style w:type="character" w:customStyle="1" w:styleId="En-tteCar">
    <w:name w:val="En-tête Car"/>
    <w:basedOn w:val="Policepardfaut"/>
    <w:link w:val="En-tte"/>
    <w:uiPriority w:val="99"/>
    <w:semiHidden/>
    <w:rsid w:val="000A4032"/>
    <w:rPr>
      <w:rFonts w:ascii="Times New Roman" w:eastAsia="Times New Roman" w:hAnsi="Times New Roman" w:cs="Times New Roman"/>
      <w:lang w:val="fr-FR" w:eastAsia="fr-FR" w:bidi="fr-FR"/>
    </w:rPr>
  </w:style>
  <w:style w:type="paragraph" w:styleId="Pieddepage">
    <w:name w:val="footer"/>
    <w:basedOn w:val="Normal"/>
    <w:link w:val="PieddepageCar"/>
    <w:uiPriority w:val="99"/>
    <w:semiHidden/>
    <w:unhideWhenUsed/>
    <w:rsid w:val="000A4032"/>
    <w:pPr>
      <w:tabs>
        <w:tab w:val="center" w:pos="4536"/>
        <w:tab w:val="right" w:pos="9072"/>
      </w:tabs>
    </w:pPr>
  </w:style>
  <w:style w:type="character" w:customStyle="1" w:styleId="PieddepageCar">
    <w:name w:val="Pied de page Car"/>
    <w:basedOn w:val="Policepardfaut"/>
    <w:link w:val="Pieddepage"/>
    <w:uiPriority w:val="99"/>
    <w:semiHidden/>
    <w:rsid w:val="000A4032"/>
    <w:rPr>
      <w:rFonts w:ascii="Times New Roman" w:eastAsia="Times New Roman" w:hAnsi="Times New Roman" w:cs="Times New Roman"/>
      <w:lang w:val="fr-FR" w:eastAsia="fr-FR" w:bidi="fr-FR"/>
    </w:rPr>
  </w:style>
  <w:style w:type="paragraph" w:styleId="Textedebulles">
    <w:name w:val="Balloon Text"/>
    <w:basedOn w:val="Normal"/>
    <w:link w:val="TextedebullesCar"/>
    <w:uiPriority w:val="99"/>
    <w:semiHidden/>
    <w:unhideWhenUsed/>
    <w:rsid w:val="006F18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1861"/>
    <w:rPr>
      <w:rFonts w:ascii="Segoe UI" w:eastAsia="Times New Roma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tact@cite-tapisseri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itetapisserie.fr" TargetMode="External"/><Relationship Id="rId4" Type="http://schemas.openxmlformats.org/officeDocument/2006/relationships/webSettings" Target="webSettings.xml"/><Relationship Id="rId9" Type="http://schemas.openxmlformats.org/officeDocument/2006/relationships/hyperlink" Target="mailto:contact@cite-tapisseri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749</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PC</cp:lastModifiedBy>
  <cp:revision>2</cp:revision>
  <cp:lastPrinted>2025-03-26T14:10:00Z</cp:lastPrinted>
  <dcterms:created xsi:type="dcterms:W3CDTF">2025-04-07T08:52:00Z</dcterms:created>
  <dcterms:modified xsi:type="dcterms:W3CDTF">2025-04-07T08:52:00Z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Microsoft® Office Word 2007</vt:lpwstr>
  </property>
  <property fmtid="{D5CDD505-2E9C-101B-9397-08002B2CF9AE}" pid="4" name="LastSaved">
    <vt:filetime>2019-12-16T00:00:00Z</vt:filetime>
  </property>
</Properties>
</file>