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F3" w:rsidRPr="00C87CF3" w:rsidRDefault="00395C00" w:rsidP="00C87CF3">
      <w:pPr>
        <w:pStyle w:val="NormalWeb"/>
        <w:spacing w:before="2" w:after="2"/>
        <w:jc w:val="both"/>
        <w:rPr>
          <w:rFonts w:ascii="Times New Roman" w:hAnsi="Times New Roman"/>
          <w:sz w:val="28"/>
        </w:rPr>
      </w:pPr>
      <w:hyperlink r:id="rId4" w:history="1">
        <w:r w:rsidR="00C87CF3" w:rsidRPr="00C87CF3">
          <w:rPr>
            <w:rStyle w:val="Lienhypertexte"/>
            <w:rFonts w:ascii="Times New Roman" w:hAnsi="Times New Roman"/>
            <w:sz w:val="28"/>
          </w:rPr>
          <w:t>http://geoconfluences.ens-lyon.fr/glossaire/metropole</w:t>
        </w:r>
      </w:hyperlink>
    </w:p>
    <w:p w:rsidR="00C87CF3" w:rsidRDefault="00C87CF3" w:rsidP="00C87CF3">
      <w:pPr>
        <w:pStyle w:val="NormalWeb"/>
        <w:spacing w:before="2" w:after="2"/>
        <w:jc w:val="both"/>
        <w:rPr>
          <w:rFonts w:ascii="Times New Roman" w:hAnsi="Times New Roman"/>
          <w:sz w:val="24"/>
        </w:rPr>
      </w:pPr>
    </w:p>
    <w:p w:rsidR="00C87CF3" w:rsidRDefault="00C87CF3" w:rsidP="00C87CF3">
      <w:pPr>
        <w:pStyle w:val="NormalWeb"/>
        <w:spacing w:before="2" w:after="2"/>
        <w:jc w:val="both"/>
        <w:rPr>
          <w:rFonts w:ascii="Times New Roman" w:hAnsi="Times New Roman"/>
          <w:sz w:val="24"/>
        </w:rPr>
      </w:pPr>
    </w:p>
    <w:p w:rsidR="00C87CF3" w:rsidRPr="00C87CF3" w:rsidRDefault="00C87CF3" w:rsidP="00C87CF3">
      <w:pPr>
        <w:pStyle w:val="NormalWeb"/>
        <w:spacing w:before="2" w:after="2"/>
        <w:jc w:val="both"/>
        <w:rPr>
          <w:rFonts w:ascii="Times New Roman" w:hAnsi="Times New Roman"/>
          <w:sz w:val="24"/>
        </w:rPr>
      </w:pPr>
      <w:r w:rsidRPr="00C87CF3">
        <w:rPr>
          <w:rFonts w:ascii="Times New Roman" w:hAnsi="Times New Roman"/>
          <w:sz w:val="24"/>
        </w:rPr>
        <w:t xml:space="preserve">La métropole est avant tout un ensemble urbain de grande importance qui exerce des fonctions de commandement, d’organisation et d’impulsion sur une région et qui permet son intégration avec le reste du monde. Elle anime un système urbain plus ou moins complexe à la hiérarchisation emboîtée. Elle peut être dotée de fonctions spécialisées dans les domaines politique, économique, de l'innovation. Ses services à forte valeur ajoutée irriguent une aire plus ou moins vaste selon les échelles considérées, de l'espace régional à l'espace mondial. Une </w:t>
      </w:r>
      <w:r w:rsidRPr="00C87CF3">
        <w:rPr>
          <w:rStyle w:val="lev"/>
          <w:rFonts w:ascii="Times New Roman" w:hAnsi="Times New Roman"/>
          <w:sz w:val="24"/>
        </w:rPr>
        <w:t>métropole de rang global,</w:t>
      </w:r>
      <w:r w:rsidRPr="00C87CF3">
        <w:rPr>
          <w:rFonts w:ascii="Times New Roman" w:hAnsi="Times New Roman"/>
          <w:sz w:val="24"/>
        </w:rPr>
        <w:t xml:space="preserve"> international, ne pourra être définie, analysée comme une simple </w:t>
      </w:r>
      <w:r w:rsidRPr="00C87CF3">
        <w:rPr>
          <w:rStyle w:val="lev"/>
          <w:rFonts w:ascii="Times New Roman" w:hAnsi="Times New Roman"/>
          <w:sz w:val="24"/>
        </w:rPr>
        <w:t>métropole régionale</w:t>
      </w:r>
      <w:r w:rsidRPr="00C87CF3">
        <w:rPr>
          <w:rFonts w:ascii="Times New Roman" w:hAnsi="Times New Roman"/>
          <w:sz w:val="24"/>
        </w:rPr>
        <w:t>.</w:t>
      </w:r>
      <w:r w:rsidRPr="00C87CF3">
        <w:rPr>
          <w:rFonts w:ascii="Times New Roman" w:hAnsi="Times New Roman"/>
          <w:sz w:val="24"/>
        </w:rPr>
        <w:br/>
        <w:t xml:space="preserve">Une </w:t>
      </w:r>
      <w:r w:rsidRPr="00C87CF3">
        <w:rPr>
          <w:rStyle w:val="lev"/>
          <w:rFonts w:ascii="Times New Roman" w:hAnsi="Times New Roman"/>
          <w:sz w:val="24"/>
        </w:rPr>
        <w:t>métropole internationale, de rang mondial</w:t>
      </w:r>
      <w:r w:rsidRPr="00C87CF3">
        <w:rPr>
          <w:rFonts w:ascii="Times New Roman" w:hAnsi="Times New Roman"/>
          <w:sz w:val="24"/>
        </w:rPr>
        <w:t xml:space="preserve">, est dotée de </w:t>
      </w:r>
      <w:r w:rsidRPr="00C87CF3">
        <w:rPr>
          <w:rStyle w:val="corps"/>
          <w:rFonts w:ascii="Times New Roman" w:hAnsi="Times New Roman"/>
          <w:sz w:val="24"/>
        </w:rPr>
        <w:t xml:space="preserve">fonctions directionnelles, de services supérieurs, de capacités d'innovation scientifique et technologique. Elle entretient d'importants réseaux internationaux et bénéficie d'excellentes conditions d'accessibilité, d'accueil et d'hébergement et d'effets d'image positifs. </w:t>
      </w:r>
      <w:r w:rsidRPr="00C87CF3">
        <w:rPr>
          <w:rFonts w:ascii="Times New Roman" w:hAnsi="Times New Roman"/>
          <w:sz w:val="24"/>
        </w:rPr>
        <w:t>Avec la mondialisation, les métropoles possédant une influence internationale ont pris une importance croissante.</w:t>
      </w:r>
    </w:p>
    <w:p w:rsidR="00C87CF3" w:rsidRDefault="00C87CF3" w:rsidP="00C87CF3">
      <w:pPr>
        <w:pStyle w:val="NormalWeb"/>
        <w:spacing w:before="2" w:after="2"/>
        <w:jc w:val="both"/>
        <w:rPr>
          <w:rFonts w:ascii="Times New Roman" w:hAnsi="Times New Roman"/>
          <w:sz w:val="24"/>
        </w:rPr>
      </w:pPr>
      <w:r w:rsidRPr="00C87CF3">
        <w:rPr>
          <w:rFonts w:ascii="Times New Roman" w:hAnsi="Times New Roman"/>
          <w:sz w:val="24"/>
        </w:rPr>
        <w:t>Le poids et la croissance démographiques sont-ils des critères déterminants dans la définition des métropoles ?</w:t>
      </w:r>
    </w:p>
    <w:p w:rsidR="00C87CF3" w:rsidRDefault="00C87CF3" w:rsidP="00C87CF3">
      <w:pPr>
        <w:pStyle w:val="NormalWeb"/>
        <w:spacing w:before="2" w:after="2"/>
        <w:jc w:val="both"/>
        <w:rPr>
          <w:rFonts w:ascii="Times New Roman" w:hAnsi="Times New Roman"/>
          <w:sz w:val="24"/>
        </w:rPr>
      </w:pPr>
      <w:r w:rsidRPr="00C87CF3">
        <w:rPr>
          <w:rFonts w:ascii="Times New Roman" w:hAnsi="Times New Roman"/>
          <w:sz w:val="24"/>
        </w:rPr>
        <w:t>Certaines agglomérations africaines, multi-millionaires, ne possèdent pas forcément de fonction métropolitaines.</w:t>
      </w:r>
    </w:p>
    <w:p w:rsidR="00C87CF3" w:rsidRDefault="00C87CF3" w:rsidP="00C87CF3">
      <w:pPr>
        <w:pStyle w:val="NormalWeb"/>
        <w:spacing w:before="2" w:after="2"/>
        <w:jc w:val="both"/>
        <w:rPr>
          <w:rFonts w:ascii="Times New Roman" w:hAnsi="Times New Roman"/>
          <w:sz w:val="24"/>
        </w:rPr>
      </w:pPr>
      <w:r w:rsidRPr="00C87CF3">
        <w:rPr>
          <w:rFonts w:ascii="Times New Roman" w:hAnsi="Times New Roman"/>
          <w:sz w:val="24"/>
        </w:rPr>
        <w:br/>
        <w:t xml:space="preserve">En France, le terme « métropole » peut être employé comme un </w:t>
      </w:r>
      <w:r w:rsidRPr="00C87CF3">
        <w:rPr>
          <w:rStyle w:val="lev"/>
          <w:rFonts w:ascii="Times New Roman" w:hAnsi="Times New Roman"/>
          <w:sz w:val="24"/>
        </w:rPr>
        <w:t>label</w:t>
      </w:r>
      <w:r w:rsidRPr="00C87CF3">
        <w:rPr>
          <w:rFonts w:ascii="Times New Roman" w:hAnsi="Times New Roman"/>
          <w:sz w:val="24"/>
        </w:rPr>
        <w:t xml:space="preserve"> par des intercommunalités (communautés d’agglomération, communautés urbaines) car il véhicule une image positive et dynamique, sans qu’elles exercent forcément de réelles fonctions métropolitaines. C’est le cas par exemple de la communauté d'agglomération « Chartres Métropole ».</w:t>
      </w:r>
    </w:p>
    <w:p w:rsidR="00C87CF3" w:rsidRDefault="00C87CF3" w:rsidP="00C87CF3">
      <w:pPr>
        <w:pStyle w:val="NormalWeb"/>
        <w:spacing w:before="2" w:after="2"/>
        <w:jc w:val="both"/>
        <w:rPr>
          <w:rFonts w:ascii="Times New Roman" w:hAnsi="Times New Roman"/>
          <w:sz w:val="24"/>
        </w:rPr>
      </w:pPr>
    </w:p>
    <w:p w:rsidR="00C87CF3" w:rsidRPr="00C87CF3" w:rsidRDefault="00C87CF3" w:rsidP="00C87CF3">
      <w:pPr>
        <w:pStyle w:val="NormalWeb"/>
        <w:pBdr>
          <w:top w:val="single" w:sz="4" w:space="1" w:color="auto"/>
          <w:left w:val="single" w:sz="4" w:space="4" w:color="auto"/>
          <w:bottom w:val="single" w:sz="4" w:space="1" w:color="auto"/>
          <w:right w:val="single" w:sz="4" w:space="4" w:color="auto"/>
        </w:pBdr>
        <w:spacing w:before="2" w:after="2"/>
        <w:jc w:val="both"/>
        <w:rPr>
          <w:rFonts w:ascii="Times New Roman" w:hAnsi="Times New Roman"/>
          <w:sz w:val="24"/>
        </w:rPr>
      </w:pPr>
      <w:r w:rsidRPr="00C87CF3">
        <w:rPr>
          <w:rFonts w:ascii="Times New Roman" w:hAnsi="Times New Roman"/>
          <w:sz w:val="24"/>
        </w:rPr>
        <w:t xml:space="preserve">En outre, le législateur a instauré des </w:t>
      </w:r>
      <w:r w:rsidRPr="00C87CF3">
        <w:rPr>
          <w:rStyle w:val="lev"/>
          <w:rFonts w:ascii="Times New Roman" w:hAnsi="Times New Roman"/>
          <w:sz w:val="24"/>
        </w:rPr>
        <w:t>« métropoles » au 1er janvier 2015</w:t>
      </w:r>
      <w:r w:rsidRPr="00C87CF3">
        <w:rPr>
          <w:rFonts w:ascii="Times New Roman" w:hAnsi="Times New Roman"/>
          <w:sz w:val="24"/>
        </w:rPr>
        <w:t xml:space="preserve"> pour désigner un nouveau type d’intercommunalité aux compétences élargies. En effet, la loi du 27 janvier 2014 de modernisation de l’action publique territoriale et d’affirmation des métropoles ("</w:t>
      </w:r>
      <w:r w:rsidRPr="00C87CF3">
        <w:rPr>
          <w:rStyle w:val="lev"/>
          <w:rFonts w:ascii="Times New Roman" w:hAnsi="Times New Roman"/>
          <w:sz w:val="24"/>
        </w:rPr>
        <w:t>loi Maptam</w:t>
      </w:r>
      <w:r w:rsidRPr="00C87CF3">
        <w:rPr>
          <w:rFonts w:ascii="Times New Roman" w:hAnsi="Times New Roman"/>
          <w:sz w:val="24"/>
        </w:rPr>
        <w:t xml:space="preserve">") transforme en métropole les établissements publics de coopération intercommunale (EPCI) à fiscalité propre qui forment un ensemble de plus de 400 000 habitants dans une aire urbaine de plus de 650 000 habitants. Cela concerne les agglomérations de Bordeaux, Brest, Grenoble, Lille, Montpellier, Nantes, Rennes, Rouen, Strasbourg et Toulouse. Construite à partir d’un simple critère démographique, la définition de ces métropoles ne tient pas compte de leurs capacités à exercer des fonctions supérieures, à polariser une aire d’influence étendue et à s’intégrer dans les grands réseaux internationaux. Au 1er janvier 2015, est également créée une nouvelle collectivité territoriale, la </w:t>
      </w:r>
      <w:hyperlink r:id="rId5" w:history="1">
        <w:r w:rsidRPr="00C87CF3">
          <w:rPr>
            <w:rStyle w:val="Lienhypertexte"/>
            <w:rFonts w:ascii="Times New Roman" w:hAnsi="Times New Roman"/>
            <w:sz w:val="24"/>
          </w:rPr>
          <w:t>métropole de Lyon</w:t>
        </w:r>
      </w:hyperlink>
      <w:r w:rsidRPr="00C87CF3">
        <w:rPr>
          <w:rFonts w:ascii="Times New Roman" w:hAnsi="Times New Roman"/>
          <w:sz w:val="24"/>
        </w:rPr>
        <w:t xml:space="preserve">, qui se substitue sur son territoire au département du Rhône. Outre la métropole de Lyon, la loi Maptam crée deux autres métropoles à statut particulier : les </w:t>
      </w:r>
      <w:hyperlink r:id="rId6" w:history="1">
        <w:r w:rsidRPr="00C87CF3">
          <w:rPr>
            <w:rStyle w:val="Lienhypertexte"/>
            <w:rFonts w:ascii="Times New Roman" w:hAnsi="Times New Roman"/>
            <w:sz w:val="24"/>
          </w:rPr>
          <w:t>métropoles du Grand Paris et d’Aix-Marseille</w:t>
        </w:r>
      </w:hyperlink>
      <w:r w:rsidRPr="00C87CF3">
        <w:rPr>
          <w:rFonts w:ascii="Times New Roman" w:hAnsi="Times New Roman"/>
          <w:sz w:val="24"/>
        </w:rPr>
        <w:t xml:space="preserve"> qui seront mises en place au 1er janvier 2016.</w:t>
      </w:r>
    </w:p>
    <w:p w:rsidR="00EC76B9" w:rsidRDefault="00EC76B9" w:rsidP="00C87CF3">
      <w:pPr>
        <w:jc w:val="both"/>
        <w:rPr>
          <w:rFonts w:ascii="Times New Roman" w:hAnsi="Times New Roman"/>
        </w:rPr>
      </w:pPr>
    </w:p>
    <w:p w:rsidR="00C87CF3" w:rsidRPr="00C87CF3" w:rsidRDefault="00EC76B9" w:rsidP="00C87CF3">
      <w:pPr>
        <w:jc w:val="both"/>
        <w:rPr>
          <w:rFonts w:ascii="Times New Roman" w:hAnsi="Times New Roman"/>
        </w:rPr>
      </w:pPr>
      <w:r>
        <w:rPr>
          <w:rFonts w:ascii="Times New Roman" w:hAnsi="Times New Roman"/>
        </w:rPr>
        <w:t>A NE PAS CONFONDRE</w:t>
      </w:r>
    </w:p>
    <w:p w:rsidR="00F74F84" w:rsidRDefault="00F74F84">
      <w:r>
        <w:t xml:space="preserve">La communauté urbaine est un </w:t>
      </w:r>
      <w:hyperlink r:id="rId7" w:history="1">
        <w:r>
          <w:rPr>
            <w:rStyle w:val="Lienhypertexte"/>
          </w:rPr>
          <w:t>EPCI</w:t>
        </w:r>
      </w:hyperlink>
      <w:r>
        <w:t xml:space="preserve"> regroupant plusieurs </w:t>
      </w:r>
      <w:hyperlink r:id="rId8" w:history="1">
        <w:r>
          <w:rPr>
            <w:rStyle w:val="Lienhypertexte"/>
          </w:rPr>
          <w:t>communes</w:t>
        </w:r>
      </w:hyperlink>
      <w:r>
        <w:t xml:space="preserve"> qui s'associent au sein d'un espace de solidarité, pour élaborer et conduire ensemble un projet commun de développement urbain et d'aménagement de leur territoire.</w:t>
      </w:r>
      <w:r>
        <w:br/>
        <w:t>Les communautés urbaines créées depuis la loi du 12 juillet 1999 doivent constituer un ensemble d'un seul tenant et sans enclave de plus de 500 000 habitants. (INSEE)</w:t>
      </w:r>
    </w:p>
    <w:p w:rsidR="00F74F84" w:rsidRPr="00F74F84" w:rsidRDefault="00F74F84" w:rsidP="00F74F84">
      <w:pPr>
        <w:spacing w:beforeLines="1" w:after="2"/>
        <w:rPr>
          <w:rFonts w:ascii="Times" w:hAnsi="Times" w:cs="Times New Roman"/>
          <w:szCs w:val="20"/>
          <w:lang w:val="en-GB" w:eastAsia="fr-FR"/>
        </w:rPr>
      </w:pPr>
      <w:r w:rsidRPr="00F74F84">
        <w:rPr>
          <w:rFonts w:ascii="Times" w:hAnsi="Times" w:cs="Times New Roman"/>
          <w:szCs w:val="20"/>
          <w:lang w:val="en-GB" w:eastAsia="fr-FR"/>
        </w:rPr>
        <w:t xml:space="preserve">Les communautés urbaines étaient, jusqu'à la </w:t>
      </w:r>
      <w:r w:rsidRPr="00F74F84">
        <w:rPr>
          <w:rFonts w:ascii="Times" w:hAnsi="Times" w:cs="Times New Roman"/>
          <w:i/>
          <w:szCs w:val="20"/>
          <w:lang w:val="en-GB" w:eastAsia="fr-FR"/>
        </w:rPr>
        <w:t>loi n</w:t>
      </w:r>
      <w:r w:rsidRPr="00F74F84">
        <w:rPr>
          <w:rFonts w:ascii="Times" w:hAnsi="Times" w:cs="Times New Roman"/>
          <w:i/>
          <w:szCs w:val="20"/>
          <w:vertAlign w:val="superscript"/>
          <w:lang w:val="en-GB" w:eastAsia="fr-FR"/>
        </w:rPr>
        <w:t>o</w:t>
      </w:r>
      <w:r w:rsidRPr="00F74F84">
        <w:rPr>
          <w:rFonts w:ascii="Times" w:hAnsi="Times" w:cs="Times New Roman"/>
          <w:i/>
          <w:szCs w:val="20"/>
          <w:lang w:val="en-GB" w:eastAsia="fr-FR"/>
        </w:rPr>
        <w:t> 2010-1563 du 16 décembre 2010 de réforme des collectivités territoriales</w:t>
      </w:r>
      <w:r w:rsidRPr="00F74F84">
        <w:rPr>
          <w:rFonts w:ascii="Times" w:hAnsi="Times" w:cs="Times New Roman"/>
          <w:szCs w:val="20"/>
          <w:lang w:val="en-GB" w:eastAsia="fr-FR"/>
        </w:rPr>
        <w:t xml:space="preserve">, la forme la plus intégrée des intercommunalités françaises. Ce n'est plus le cas avec la création, par cette loi, des </w:t>
      </w:r>
      <w:hyperlink r:id="rId9" w:history="1">
        <w:r w:rsidRPr="00F74F84">
          <w:rPr>
            <w:rFonts w:ascii="Times" w:hAnsi="Times" w:cs="Times New Roman"/>
            <w:color w:val="0000FF"/>
            <w:szCs w:val="20"/>
            <w:u w:val="single"/>
            <w:lang w:val="en-GB" w:eastAsia="fr-FR"/>
          </w:rPr>
          <w:t>métropoles</w:t>
        </w:r>
      </w:hyperlink>
      <w:r w:rsidRPr="00F74F84">
        <w:rPr>
          <w:rFonts w:ascii="Times" w:hAnsi="Times" w:cs="Times New Roman"/>
          <w:szCs w:val="20"/>
          <w:lang w:val="en-GB" w:eastAsia="fr-FR"/>
        </w:rPr>
        <w:t>, qui reçoivent des compétences déléguées par les communes, mais également par le ou les départements et régions où elles sont situées.</w:t>
      </w:r>
    </w:p>
    <w:p w:rsidR="00C87CF3" w:rsidRPr="00F74F84" w:rsidRDefault="00F74F84" w:rsidP="00F74F84">
      <w:pPr>
        <w:spacing w:beforeLines="1" w:after="2"/>
        <w:rPr>
          <w:rFonts w:ascii="Times" w:hAnsi="Times" w:cs="Times New Roman"/>
          <w:szCs w:val="20"/>
          <w:lang w:val="en-GB" w:eastAsia="fr-FR"/>
        </w:rPr>
      </w:pPr>
      <w:r w:rsidRPr="00F74F84">
        <w:rPr>
          <w:rFonts w:ascii="Times" w:hAnsi="Times" w:cs="Times New Roman"/>
          <w:szCs w:val="20"/>
          <w:lang w:val="en-GB" w:eastAsia="fr-FR"/>
        </w:rPr>
        <w:t xml:space="preserve">La </w:t>
      </w:r>
      <w:hyperlink r:id="rId10" w:history="1">
        <w:r w:rsidRPr="00F74F84">
          <w:rPr>
            <w:rFonts w:ascii="Times" w:hAnsi="Times" w:cs="Times New Roman"/>
            <w:color w:val="0000FF"/>
            <w:szCs w:val="20"/>
            <w:u w:val="single"/>
            <w:lang w:val="en-GB" w:eastAsia="fr-FR"/>
          </w:rPr>
          <w:t>loi de modernisation de l’action publique territoriale et d’affirmation des métropoles</w:t>
        </w:r>
      </w:hyperlink>
      <w:r>
        <w:rPr>
          <w:rFonts w:ascii="Times" w:hAnsi="Times" w:cs="Times New Roman"/>
          <w:szCs w:val="20"/>
          <w:lang w:val="en-GB" w:eastAsia="fr-FR"/>
        </w:rPr>
        <w:t xml:space="preserve"> (MAPTAM)</w:t>
      </w:r>
      <w:r w:rsidRPr="00F74F84">
        <w:rPr>
          <w:rFonts w:ascii="Times" w:hAnsi="Times" w:cs="Times New Roman"/>
          <w:szCs w:val="20"/>
          <w:lang w:val="en-GB" w:eastAsia="fr-FR"/>
        </w:rPr>
        <w:t>, votée en 2013, abaisse le seuil démographique de création des communautés urbaines de 450 000 habitants à 250 000 habitants</w:t>
      </w:r>
      <w:hyperlink r:id="rId11" w:anchor="cite_note-assemblee-nationale.fr-1" w:history="1">
        <w:r w:rsidRPr="00F74F84">
          <w:rPr>
            <w:rFonts w:ascii="Times" w:hAnsi="Times" w:cs="Times New Roman"/>
            <w:color w:val="0000FF"/>
            <w:szCs w:val="20"/>
            <w:u w:val="single"/>
            <w:vertAlign w:val="superscript"/>
            <w:lang w:val="en-GB" w:eastAsia="fr-FR"/>
          </w:rPr>
          <w:t>1</w:t>
        </w:r>
      </w:hyperlink>
      <w:r w:rsidRPr="00F74F84">
        <w:rPr>
          <w:rFonts w:ascii="Times" w:hAnsi="Times" w:cs="Times New Roman"/>
          <w:szCs w:val="20"/>
          <w:lang w:val="en-GB" w:eastAsia="fr-FR"/>
        </w:rPr>
        <w:t>.</w:t>
      </w:r>
    </w:p>
    <w:sectPr w:rsidR="00C87CF3" w:rsidRPr="00F74F84" w:rsidSect="000763FF">
      <w:pgSz w:w="11900" w:h="16840"/>
      <w:pgMar w:top="1134" w:right="1134" w:bottom="1134" w:left="1134" w:header="454" w:footer="45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7CF3"/>
    <w:rsid w:val="00395C00"/>
    <w:rsid w:val="00C87CF3"/>
    <w:rsid w:val="00EC76B9"/>
    <w:rsid w:val="00F74F84"/>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4A"/>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C87CF3"/>
    <w:pPr>
      <w:spacing w:beforeLines="1" w:afterLines="1"/>
    </w:pPr>
    <w:rPr>
      <w:rFonts w:ascii="Times" w:hAnsi="Times" w:cs="Times New Roman"/>
      <w:sz w:val="20"/>
      <w:szCs w:val="20"/>
      <w:lang w:val="en-GB" w:eastAsia="fr-FR"/>
    </w:rPr>
  </w:style>
  <w:style w:type="character" w:styleId="lev">
    <w:name w:val="Strong"/>
    <w:basedOn w:val="Policepardfaut"/>
    <w:uiPriority w:val="22"/>
    <w:rsid w:val="00C87CF3"/>
    <w:rPr>
      <w:b/>
    </w:rPr>
  </w:style>
  <w:style w:type="character" w:customStyle="1" w:styleId="corps">
    <w:name w:val="corps"/>
    <w:basedOn w:val="Policepardfaut"/>
    <w:rsid w:val="00C87CF3"/>
  </w:style>
  <w:style w:type="character" w:styleId="Lienhypertexte">
    <w:name w:val="Hyperlink"/>
    <w:basedOn w:val="Policepardfaut"/>
    <w:uiPriority w:val="99"/>
    <w:rsid w:val="00C87CF3"/>
    <w:rPr>
      <w:color w:val="0000FF"/>
      <w:u w:val="single"/>
    </w:rPr>
  </w:style>
</w:styles>
</file>

<file path=word/webSettings.xml><?xml version="1.0" encoding="utf-8"?>
<w:webSettings xmlns:r="http://schemas.openxmlformats.org/officeDocument/2006/relationships" xmlns:w="http://schemas.openxmlformats.org/wordprocessingml/2006/main">
  <w:divs>
    <w:div w:id="159739604">
      <w:bodyDiv w:val="1"/>
      <w:marLeft w:val="0"/>
      <w:marRight w:val="0"/>
      <w:marTop w:val="0"/>
      <w:marBottom w:val="0"/>
      <w:divBdr>
        <w:top w:val="none" w:sz="0" w:space="0" w:color="auto"/>
        <w:left w:val="none" w:sz="0" w:space="0" w:color="auto"/>
        <w:bottom w:val="none" w:sz="0" w:space="0" w:color="auto"/>
        <w:right w:val="none" w:sz="0" w:space="0" w:color="auto"/>
      </w:divBdr>
    </w:div>
    <w:div w:id="2055621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Communaut%C3%A9_urbain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geoconfluences.ens-lyon.fr/glossaire/metropole" TargetMode="External"/><Relationship Id="rId5" Type="http://schemas.openxmlformats.org/officeDocument/2006/relationships/hyperlink" Target="http://geoconfluences.ens-lyon.fr/glossaire/metropoles-du-grand-paris-metropole-de-lyon-aix-marseille-provence" TargetMode="External"/><Relationship Id="rId6" Type="http://schemas.openxmlformats.org/officeDocument/2006/relationships/hyperlink" Target="http://geoconfluences.ens-lyon.fr/glossaire/metropoles-du-grand-paris-metropole-de-lyon-aix-marseille-provence" TargetMode="External"/><Relationship Id="rId7" Type="http://schemas.openxmlformats.org/officeDocument/2006/relationships/hyperlink" Target="http://www.insee.fr/fr/methodes/default.asp?page=definitions/etab-pub-cooper-intercom.htm" TargetMode="External"/><Relationship Id="rId8" Type="http://schemas.openxmlformats.org/officeDocument/2006/relationships/hyperlink" Target="http://www.insee.fr/fr/methodes/default.asp?page=definitions/commune.htm" TargetMode="External"/><Relationship Id="rId9" Type="http://schemas.openxmlformats.org/officeDocument/2006/relationships/hyperlink" Target="https://fr.wikipedia.org/wiki/M%C3%A9tropole_%28intercommunalit%C3%A9_fran%C3%A7aise%29" TargetMode="External"/><Relationship Id="rId10" Type="http://schemas.openxmlformats.org/officeDocument/2006/relationships/hyperlink" Target="https://fr.wikipedia.org/wiki/Loi_de_modernisation_de_l%27action_publique_territoriale_et_d%27affirmation_des_m%C3%A9tropol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2720</Characters>
  <Application>Microsoft Macintosh Word</Application>
  <DocSecurity>0</DocSecurity>
  <Lines>22</Lines>
  <Paragraphs>5</Paragraphs>
  <ScaleCrop>false</ScaleCrop>
  <Company>Iufm Orléans-Tours</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LAUBRY</dc:creator>
  <cp:keywords/>
  <cp:lastModifiedBy>Jean-Louis LAUBRY</cp:lastModifiedBy>
  <cp:revision>3</cp:revision>
  <dcterms:created xsi:type="dcterms:W3CDTF">2016-09-17T16:36:00Z</dcterms:created>
  <dcterms:modified xsi:type="dcterms:W3CDTF">2016-09-17T16:42:00Z</dcterms:modified>
</cp:coreProperties>
</file>